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N E</w:t>
      </w:r>
      <w:r w:rsidR="00D72985" w:rsidRPr="0001046D">
        <w:rPr>
          <w:rFonts w:ascii="Palatino Linotype" w:hAnsi="Palatino Linotype" w:cs="Arial"/>
          <w:b/>
          <w:sz w:val="24"/>
          <w:szCs w:val="24"/>
        </w:rPr>
        <w:t>L RECURSO</w:t>
      </w:r>
      <w:r w:rsidR="00BF3534" w:rsidRPr="0001046D">
        <w:rPr>
          <w:rFonts w:ascii="Palatino Linotype" w:hAnsi="Palatino Linotype" w:cs="Arial"/>
          <w:b/>
          <w:sz w:val="24"/>
          <w:szCs w:val="24"/>
        </w:rPr>
        <w:t xml:space="preserve"> DE REVISIÓN </w:t>
      </w:r>
      <w:r w:rsidR="009A277B">
        <w:rPr>
          <w:rFonts w:ascii="Palatino Linotype" w:hAnsi="Palatino Linotype" w:cs="Arial"/>
          <w:b/>
          <w:sz w:val="24"/>
          <w:szCs w:val="24"/>
        </w:rPr>
        <w:t>03991</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105730" w:rsidRPr="0001046D" w:rsidRDefault="00105730" w:rsidP="00E34F08">
      <w:pPr>
        <w:spacing w:after="0" w:line="360" w:lineRule="auto"/>
        <w:jc w:val="both"/>
        <w:rPr>
          <w:rFonts w:ascii="Palatino Linotype" w:hAnsi="Palatino Linotype" w:cs="Arial"/>
          <w:sz w:val="24"/>
          <w:szCs w:val="24"/>
        </w:rPr>
      </w:pPr>
    </w:p>
    <w:p w:rsidR="00902248" w:rsidRPr="00105730" w:rsidRDefault="00E305E3" w:rsidP="00E305E3">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D66E5F" w:rsidRDefault="00D66E5F" w:rsidP="00EA2C08">
      <w:pPr>
        <w:spacing w:after="0" w:line="336" w:lineRule="auto"/>
        <w:jc w:val="both"/>
        <w:rPr>
          <w:rFonts w:ascii="Palatino Linotype" w:hAnsi="Palatino Linotype" w:cs="Arial"/>
          <w:sz w:val="24"/>
          <w:szCs w:val="24"/>
        </w:rPr>
      </w:pPr>
    </w:p>
    <w:p w:rsidR="008F4AE3" w:rsidRDefault="008F4AE3" w:rsidP="008F4AE3">
      <w:pPr>
        <w:spacing w:after="0" w:line="336" w:lineRule="auto"/>
        <w:jc w:val="both"/>
        <w:rPr>
          <w:rFonts w:ascii="Palatino Linotype" w:hAnsi="Palatino Linotype" w:cs="Arial"/>
          <w:sz w:val="24"/>
          <w:szCs w:val="24"/>
        </w:rPr>
      </w:pPr>
      <w:r>
        <w:rPr>
          <w:rFonts w:ascii="Palatino Linotype" w:hAnsi="Palatino Linotype" w:cs="Arial"/>
          <w:sz w:val="24"/>
          <w:szCs w:val="24"/>
        </w:rPr>
        <w:t>Si bien es cierto que los miembros operativos de las Direcciones de Seguridad Ciudadana realizan actividades que, por la naturaleza de su cargo presume que se encuentren en un nivel de seguridad personal menor al de otros servidores públicos, cuando los particulares soliciten información referente a ellos como lo son nombre</w:t>
      </w:r>
      <w:r w:rsidR="00AA0E64">
        <w:rPr>
          <w:rFonts w:ascii="Palatino Linotype" w:hAnsi="Palatino Linotype" w:cs="Arial"/>
          <w:sz w:val="24"/>
          <w:szCs w:val="24"/>
        </w:rPr>
        <w:t>s y comprobante de pago de cualquier índole</w:t>
      </w:r>
      <w:r>
        <w:rPr>
          <w:rFonts w:ascii="Palatino Linotype" w:hAnsi="Palatino Linotype" w:cs="Arial"/>
          <w:sz w:val="24"/>
          <w:szCs w:val="24"/>
        </w:rPr>
        <w:t>, deberá ordenar</w:t>
      </w:r>
      <w:r w:rsidR="00AA0E64">
        <w:rPr>
          <w:rFonts w:ascii="Palatino Linotype" w:hAnsi="Palatino Linotype" w:cs="Arial"/>
          <w:sz w:val="24"/>
          <w:szCs w:val="24"/>
        </w:rPr>
        <w:t>s</w:t>
      </w:r>
      <w:r>
        <w:rPr>
          <w:rFonts w:ascii="Palatino Linotype" w:hAnsi="Palatino Linotype" w:cs="Arial"/>
          <w:sz w:val="24"/>
          <w:szCs w:val="24"/>
        </w:rPr>
        <w:t xml:space="preserve">e su entrega de manera disociada, a fin de </w:t>
      </w:r>
      <w:r w:rsidR="00AA0E64">
        <w:rPr>
          <w:rFonts w:ascii="Palatino Linotype" w:hAnsi="Palatino Linotype" w:cs="Arial"/>
          <w:sz w:val="24"/>
          <w:szCs w:val="24"/>
        </w:rPr>
        <w:t>lograr</w:t>
      </w:r>
      <w:r>
        <w:rPr>
          <w:rFonts w:ascii="Palatino Linotype" w:hAnsi="Palatino Linotype" w:cs="Arial"/>
          <w:sz w:val="24"/>
          <w:szCs w:val="24"/>
        </w:rPr>
        <w:t xml:space="preserve"> un balance entre el derecho de acceso a la información pública y la necesidad de proteger la integridad de los miembros de la Dirección de Seguridad.</w:t>
      </w:r>
    </w:p>
    <w:p w:rsidR="006800C8" w:rsidRDefault="006800C8" w:rsidP="00EA2C08">
      <w:pPr>
        <w:spacing w:after="0" w:line="336" w:lineRule="auto"/>
        <w:jc w:val="both"/>
        <w:rPr>
          <w:rFonts w:ascii="Palatino Linotype" w:hAnsi="Palatino Linotype" w:cs="Arial"/>
          <w:sz w:val="24"/>
          <w:szCs w:val="24"/>
        </w:rPr>
      </w:pPr>
    </w:p>
    <w:p w:rsidR="0046491C" w:rsidRPr="0001046D" w:rsidRDefault="00EA2C08" w:rsidP="00E305E3">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AA0E64" w:rsidRDefault="0046491C">
          <w:pPr>
            <w:pStyle w:val="TDC1"/>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535252754" w:history="1">
            <w:r w:rsidR="00AA0E64" w:rsidRPr="000B2972">
              <w:rPr>
                <w:rStyle w:val="Hipervnculo"/>
                <w:rFonts w:ascii="Palatino Linotype" w:hAnsi="Palatino Linotype"/>
                <w:b/>
                <w:noProof/>
              </w:rPr>
              <w:t>I.</w:t>
            </w:r>
            <w:r w:rsidR="00AA0E64">
              <w:rPr>
                <w:rFonts w:eastAsiaTheme="minorEastAsia"/>
                <w:noProof/>
                <w:lang w:eastAsia="es-MX"/>
              </w:rPr>
              <w:tab/>
            </w:r>
            <w:r w:rsidR="00AA0E64" w:rsidRPr="000B2972">
              <w:rPr>
                <w:rStyle w:val="Hipervnculo"/>
                <w:rFonts w:ascii="Palatino Linotype" w:hAnsi="Palatino Linotype"/>
                <w:b/>
                <w:noProof/>
              </w:rPr>
              <w:t>Consideraciones Generales.</w:t>
            </w:r>
            <w:r w:rsidR="00AA0E64">
              <w:rPr>
                <w:noProof/>
                <w:webHidden/>
              </w:rPr>
              <w:tab/>
            </w:r>
            <w:r w:rsidR="00AA0E64">
              <w:rPr>
                <w:noProof/>
                <w:webHidden/>
              </w:rPr>
              <w:fldChar w:fldCharType="begin"/>
            </w:r>
            <w:r w:rsidR="00AA0E64">
              <w:rPr>
                <w:noProof/>
                <w:webHidden/>
              </w:rPr>
              <w:instrText xml:space="preserve"> PAGEREF _Toc535252754 \h </w:instrText>
            </w:r>
            <w:r w:rsidR="00AA0E64">
              <w:rPr>
                <w:noProof/>
                <w:webHidden/>
              </w:rPr>
            </w:r>
            <w:r w:rsidR="00AA0E64">
              <w:rPr>
                <w:noProof/>
                <w:webHidden/>
              </w:rPr>
              <w:fldChar w:fldCharType="separate"/>
            </w:r>
            <w:r w:rsidR="00FC068F">
              <w:rPr>
                <w:noProof/>
                <w:webHidden/>
              </w:rPr>
              <w:t>2</w:t>
            </w:r>
            <w:r w:rsidR="00AA0E64">
              <w:rPr>
                <w:noProof/>
                <w:webHidden/>
              </w:rPr>
              <w:fldChar w:fldCharType="end"/>
            </w:r>
          </w:hyperlink>
        </w:p>
        <w:p w:rsidR="00AA0E64" w:rsidRDefault="00AA0E64">
          <w:pPr>
            <w:pStyle w:val="TDC1"/>
            <w:rPr>
              <w:rFonts w:eastAsiaTheme="minorEastAsia"/>
              <w:noProof/>
              <w:lang w:eastAsia="es-MX"/>
            </w:rPr>
          </w:pPr>
          <w:hyperlink w:anchor="_Toc535252755" w:history="1">
            <w:r w:rsidRPr="000B2972">
              <w:rPr>
                <w:rStyle w:val="Hipervnculo"/>
                <w:rFonts w:ascii="Palatino Linotype" w:hAnsi="Palatino Linotype"/>
                <w:b/>
                <w:noProof/>
              </w:rPr>
              <w:t>II.</w:t>
            </w:r>
            <w:r>
              <w:rPr>
                <w:rFonts w:eastAsiaTheme="minorEastAsia"/>
                <w:noProof/>
                <w:lang w:eastAsia="es-MX"/>
              </w:rPr>
              <w:tab/>
            </w:r>
            <w:r w:rsidRPr="000B2972">
              <w:rPr>
                <w:rStyle w:val="Hipervnculo"/>
                <w:rFonts w:ascii="Palatino Linotype" w:hAnsi="Palatino Linotype"/>
                <w:b/>
                <w:noProof/>
              </w:rPr>
              <w:t>De los requerimientos planteados en el recurso de revisión.</w:t>
            </w:r>
            <w:r>
              <w:rPr>
                <w:noProof/>
                <w:webHidden/>
              </w:rPr>
              <w:tab/>
            </w:r>
            <w:r>
              <w:rPr>
                <w:noProof/>
                <w:webHidden/>
              </w:rPr>
              <w:fldChar w:fldCharType="begin"/>
            </w:r>
            <w:r>
              <w:rPr>
                <w:noProof/>
                <w:webHidden/>
              </w:rPr>
              <w:instrText xml:space="preserve"> PAGEREF _Toc535252755 \h </w:instrText>
            </w:r>
            <w:r>
              <w:rPr>
                <w:noProof/>
                <w:webHidden/>
              </w:rPr>
            </w:r>
            <w:r>
              <w:rPr>
                <w:noProof/>
                <w:webHidden/>
              </w:rPr>
              <w:fldChar w:fldCharType="separate"/>
            </w:r>
            <w:r w:rsidR="00FC068F">
              <w:rPr>
                <w:noProof/>
                <w:webHidden/>
              </w:rPr>
              <w:t>3</w:t>
            </w:r>
            <w:r>
              <w:rPr>
                <w:noProof/>
                <w:webHidden/>
              </w:rPr>
              <w:fldChar w:fldCharType="end"/>
            </w:r>
          </w:hyperlink>
        </w:p>
        <w:p w:rsidR="00AA0E64" w:rsidRDefault="00AA0E64">
          <w:pPr>
            <w:pStyle w:val="TDC1"/>
            <w:rPr>
              <w:rFonts w:eastAsiaTheme="minorEastAsia"/>
              <w:noProof/>
              <w:lang w:eastAsia="es-MX"/>
            </w:rPr>
          </w:pPr>
          <w:hyperlink w:anchor="_Toc535252756" w:history="1">
            <w:r w:rsidRPr="000B2972">
              <w:rPr>
                <w:rStyle w:val="Hipervnculo"/>
                <w:rFonts w:ascii="Palatino Linotype" w:hAnsi="Palatino Linotype"/>
                <w:b/>
                <w:noProof/>
              </w:rPr>
              <w:t>III.</w:t>
            </w:r>
            <w:r>
              <w:rPr>
                <w:rFonts w:eastAsiaTheme="minorEastAsia"/>
                <w:noProof/>
                <w:lang w:eastAsia="es-MX"/>
              </w:rPr>
              <w:tab/>
            </w:r>
            <w:r w:rsidRPr="000B2972">
              <w:rPr>
                <w:rStyle w:val="Hipervnculo"/>
                <w:rFonts w:ascii="Palatino Linotype" w:hAnsi="Palatino Linotype"/>
                <w:b/>
                <w:noProof/>
              </w:rPr>
              <w:t>De la determinación de reservar los nombres de los ex servidores públicos que se desempeñaron en Seguridad Ciudadana.</w:t>
            </w:r>
            <w:r>
              <w:rPr>
                <w:noProof/>
                <w:webHidden/>
              </w:rPr>
              <w:tab/>
            </w:r>
            <w:r>
              <w:rPr>
                <w:noProof/>
                <w:webHidden/>
              </w:rPr>
              <w:fldChar w:fldCharType="begin"/>
            </w:r>
            <w:r>
              <w:rPr>
                <w:noProof/>
                <w:webHidden/>
              </w:rPr>
              <w:instrText xml:space="preserve"> PAGEREF _Toc535252756 \h </w:instrText>
            </w:r>
            <w:r>
              <w:rPr>
                <w:noProof/>
                <w:webHidden/>
              </w:rPr>
            </w:r>
            <w:r>
              <w:rPr>
                <w:noProof/>
                <w:webHidden/>
              </w:rPr>
              <w:fldChar w:fldCharType="separate"/>
            </w:r>
            <w:r w:rsidR="00FC068F">
              <w:rPr>
                <w:noProof/>
                <w:webHidden/>
              </w:rPr>
              <w:t>6</w:t>
            </w:r>
            <w:r>
              <w:rPr>
                <w:noProof/>
                <w:webHidden/>
              </w:rPr>
              <w:fldChar w:fldCharType="end"/>
            </w:r>
          </w:hyperlink>
        </w:p>
        <w:p w:rsidR="00A00F35"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p w:rsidR="0046491C" w:rsidRPr="0001046D" w:rsidRDefault="00CD781F" w:rsidP="00E34F08">
          <w:pPr>
            <w:spacing w:line="360" w:lineRule="auto"/>
            <w:rPr>
              <w:rFonts w:ascii="Palatino Linotype" w:hAnsi="Palatino Linotype"/>
            </w:rPr>
          </w:pP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535252754"/>
      <w:r w:rsidRPr="0001046D">
        <w:rPr>
          <w:rFonts w:ascii="Palatino Linotype" w:hAnsi="Palatino Linotype"/>
          <w:b/>
          <w:color w:val="auto"/>
          <w:sz w:val="24"/>
          <w:szCs w:val="24"/>
        </w:rPr>
        <w:lastRenderedPageBreak/>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734C2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581A68">
        <w:rPr>
          <w:rFonts w:ascii="Palatino Linotype" w:hAnsi="Palatino Linotype" w:cs="Arial"/>
          <w:sz w:val="24"/>
          <w:szCs w:val="24"/>
        </w:rPr>
        <w:t>Primera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00FC16D9">
        <w:rPr>
          <w:rFonts w:ascii="Palatino Linotype" w:hAnsi="Palatino Linotype" w:cs="Arial"/>
          <w:sz w:val="24"/>
          <w:szCs w:val="24"/>
        </w:rPr>
        <w:t xml:space="preserve">rdinaria, celebrada el </w:t>
      </w:r>
      <w:r w:rsidR="00581A68">
        <w:rPr>
          <w:rFonts w:ascii="Palatino Linotype" w:hAnsi="Palatino Linotype" w:cs="Arial"/>
          <w:sz w:val="24"/>
          <w:szCs w:val="24"/>
        </w:rPr>
        <w:t>nueve</w:t>
      </w:r>
      <w:r w:rsidRPr="00E34F08">
        <w:rPr>
          <w:rFonts w:ascii="Palatino Linotype" w:hAnsi="Palatino Linotype" w:cs="Arial"/>
          <w:sz w:val="24"/>
          <w:szCs w:val="24"/>
        </w:rPr>
        <w:t xml:space="preserve"> (</w:t>
      </w:r>
      <w:r w:rsidR="00581A68">
        <w:rPr>
          <w:rFonts w:ascii="Palatino Linotype" w:hAnsi="Palatino Linotype" w:cs="Arial"/>
          <w:sz w:val="24"/>
          <w:szCs w:val="24"/>
        </w:rPr>
        <w:t>09</w:t>
      </w:r>
      <w:r w:rsidR="00225026" w:rsidRPr="00E34F08">
        <w:rPr>
          <w:rFonts w:ascii="Palatino Linotype" w:hAnsi="Palatino Linotype" w:cs="Arial"/>
          <w:sz w:val="24"/>
          <w:szCs w:val="24"/>
        </w:rPr>
        <w:t xml:space="preserve">) de </w:t>
      </w:r>
      <w:r w:rsidR="00581A68">
        <w:rPr>
          <w:rFonts w:ascii="Palatino Linotype" w:hAnsi="Palatino Linotype" w:cs="Arial"/>
          <w:sz w:val="24"/>
          <w:szCs w:val="24"/>
        </w:rPr>
        <w:t>enero</w:t>
      </w:r>
      <w:r w:rsidR="0076241F">
        <w:rPr>
          <w:rFonts w:ascii="Palatino Linotype" w:hAnsi="Palatino Linotype" w:cs="Arial"/>
          <w:sz w:val="24"/>
          <w:szCs w:val="24"/>
        </w:rPr>
        <w:t xml:space="preserve"> de dos mil </w:t>
      </w:r>
      <w:r w:rsidR="00581A68">
        <w:rPr>
          <w:rFonts w:ascii="Palatino Linotype" w:hAnsi="Palatino Linotype" w:cs="Arial"/>
          <w:sz w:val="24"/>
          <w:szCs w:val="24"/>
        </w:rPr>
        <w:t>diecinueve</w:t>
      </w:r>
      <w:r w:rsidRPr="00E34F08">
        <w:rPr>
          <w:rFonts w:ascii="Palatino Linotype" w:hAnsi="Palatino Linotype" w:cs="Arial"/>
          <w:sz w:val="24"/>
          <w:szCs w:val="24"/>
        </w:rPr>
        <w:t>, en el recurso</w:t>
      </w:r>
      <w:r w:rsidR="002C1F75" w:rsidRPr="00E34F08">
        <w:rPr>
          <w:rFonts w:ascii="Palatino Linotype" w:hAnsi="Palatino Linotype" w:cs="Arial"/>
          <w:sz w:val="24"/>
          <w:szCs w:val="24"/>
        </w:rPr>
        <w:t xml:space="preserve"> de revisión </w:t>
      </w:r>
      <w:r w:rsidR="009A277B">
        <w:rPr>
          <w:rFonts w:ascii="Palatino Linotype" w:hAnsi="Palatino Linotype" w:cs="Arial"/>
          <w:b/>
          <w:sz w:val="24"/>
          <w:szCs w:val="24"/>
        </w:rPr>
        <w:t>03991</w:t>
      </w:r>
      <w:r w:rsidR="00581A68">
        <w:rPr>
          <w:rFonts w:ascii="Palatino Linotype" w:hAnsi="Palatino Linotype" w:cs="Arial"/>
          <w:b/>
          <w:sz w:val="24"/>
          <w:szCs w:val="24"/>
        </w:rPr>
        <w:t>/INFOEM/IP/RR/2018</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00581A68" w:rsidRPr="00E34F08">
        <w:rPr>
          <w:rFonts w:ascii="Palatino Linotype" w:hAnsi="Palatino Linotype" w:cs="Arial"/>
          <w:sz w:val="24"/>
          <w:szCs w:val="24"/>
        </w:rPr>
        <w:t xml:space="preserve">promovido </w:t>
      </w:r>
      <w:r w:rsidRPr="00E34F08">
        <w:rPr>
          <w:rFonts w:ascii="Palatino Linotype" w:hAnsi="Palatino Linotype" w:cs="Arial"/>
          <w:sz w:val="24"/>
          <w:szCs w:val="24"/>
        </w:rPr>
        <w:t xml:space="preserve">en contra de la respuesta </w:t>
      </w:r>
      <w:r w:rsidR="00FC16D9">
        <w:rPr>
          <w:rFonts w:ascii="Palatino Linotype" w:hAnsi="Palatino Linotype" w:cs="Arial"/>
          <w:sz w:val="24"/>
          <w:szCs w:val="24"/>
        </w:rPr>
        <w:t xml:space="preserve">emitida por el </w:t>
      </w:r>
      <w:r w:rsidR="00FC16D9">
        <w:rPr>
          <w:rFonts w:ascii="Palatino Linotype" w:eastAsia="Calibri" w:hAnsi="Palatino Linotype" w:cs="Times New Roman"/>
          <w:b/>
          <w:sz w:val="24"/>
          <w:szCs w:val="24"/>
          <w:lang w:val="es-ES" w:eastAsia="es-ES"/>
        </w:rPr>
        <w:t xml:space="preserve">Ayuntamiento de </w:t>
      </w:r>
      <w:r w:rsidR="009A277B">
        <w:rPr>
          <w:rFonts w:ascii="Palatino Linotype" w:eastAsia="Calibri" w:hAnsi="Palatino Linotype" w:cs="Times New Roman"/>
          <w:b/>
          <w:sz w:val="24"/>
          <w:szCs w:val="24"/>
          <w:lang w:val="es-ES" w:eastAsia="es-ES"/>
        </w:rPr>
        <w:t>Valle de Chalco Solidaridad</w:t>
      </w:r>
      <w:r w:rsidR="00581A68">
        <w:rPr>
          <w:rFonts w:ascii="Palatino Linotype" w:hAnsi="Palatino Linotype" w:cs="Arial"/>
          <w:sz w:val="24"/>
          <w:szCs w:val="24"/>
        </w:rPr>
        <w:t>.</w:t>
      </w:r>
    </w:p>
    <w:p w:rsidR="0000525F" w:rsidRPr="0001046D" w:rsidRDefault="0000525F" w:rsidP="00734C24">
      <w:pPr>
        <w:pStyle w:val="Prrafodelista"/>
        <w:tabs>
          <w:tab w:val="left" w:pos="426"/>
        </w:tabs>
        <w:spacing w:after="0" w:line="360" w:lineRule="auto"/>
        <w:ind w:left="426"/>
        <w:jc w:val="both"/>
        <w:rPr>
          <w:rFonts w:ascii="Palatino Linotype" w:hAnsi="Palatino Linotype" w:cs="Arial"/>
          <w:sz w:val="24"/>
          <w:szCs w:val="24"/>
        </w:rPr>
      </w:pPr>
    </w:p>
    <w:p w:rsidR="00E305E3" w:rsidRDefault="008E4128" w:rsidP="00734C2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 través del estudio realizado dentro de la resolución que al rubro se indica, la Ponencia Resolutora </w:t>
      </w:r>
      <w:r w:rsidR="00D150B0">
        <w:rPr>
          <w:rFonts w:ascii="Palatino Linotype" w:hAnsi="Palatino Linotype" w:cs="Arial"/>
          <w:sz w:val="24"/>
          <w:szCs w:val="24"/>
        </w:rPr>
        <w:t>concluyó</w:t>
      </w:r>
      <w:r>
        <w:rPr>
          <w:rFonts w:ascii="Palatino Linotype" w:hAnsi="Palatino Linotype" w:cs="Arial"/>
          <w:sz w:val="24"/>
          <w:szCs w:val="24"/>
        </w:rPr>
        <w:t xml:space="preserve"> que resultaban </w:t>
      </w:r>
      <w:r w:rsidR="0046491C" w:rsidRPr="0001046D">
        <w:rPr>
          <w:rFonts w:ascii="Palatino Linotype" w:hAnsi="Palatino Linotype" w:cs="Arial"/>
          <w:sz w:val="24"/>
          <w:szCs w:val="24"/>
        </w:rPr>
        <w:t>fundad</w:t>
      </w:r>
      <w:r w:rsidR="00E305E3">
        <w:rPr>
          <w:rFonts w:ascii="Palatino Linotype" w:hAnsi="Palatino Linotype" w:cs="Arial"/>
          <w:sz w:val="24"/>
          <w:szCs w:val="24"/>
        </w:rPr>
        <w:t>a</w:t>
      </w:r>
      <w:r w:rsidR="0046491C" w:rsidRPr="0001046D">
        <w:rPr>
          <w:rFonts w:ascii="Palatino Linotype" w:hAnsi="Palatino Linotype" w:cs="Arial"/>
          <w:sz w:val="24"/>
          <w:szCs w:val="24"/>
        </w:rPr>
        <w:t xml:space="preserve">s </w:t>
      </w:r>
      <w:r w:rsidR="0000525F" w:rsidRPr="0001046D">
        <w:rPr>
          <w:rFonts w:ascii="Palatino Linotype" w:hAnsi="Palatino Linotype" w:cs="Arial"/>
          <w:sz w:val="24"/>
          <w:szCs w:val="24"/>
        </w:rPr>
        <w:t>l</w:t>
      </w:r>
      <w:r w:rsidR="006E1859">
        <w:rPr>
          <w:rFonts w:ascii="Palatino Linotype" w:hAnsi="Palatino Linotype" w:cs="Arial"/>
          <w:sz w:val="24"/>
          <w:szCs w:val="24"/>
        </w:rPr>
        <w:t>as razones o</w:t>
      </w:r>
      <w:r w:rsidR="0046491C" w:rsidRPr="0001046D">
        <w:rPr>
          <w:rFonts w:ascii="Palatino Linotype" w:hAnsi="Palatino Linotype" w:cs="Arial"/>
          <w:sz w:val="24"/>
          <w:szCs w:val="24"/>
        </w:rPr>
        <w:t xml:space="preserve"> motivos de inconformidad </w:t>
      </w:r>
      <w:r w:rsidR="0000525F" w:rsidRPr="0001046D">
        <w:rPr>
          <w:rFonts w:ascii="Palatino Linotype" w:hAnsi="Palatino Linotype" w:cs="Arial"/>
          <w:sz w:val="24"/>
          <w:szCs w:val="24"/>
        </w:rPr>
        <w:t xml:space="preserve">que </w:t>
      </w:r>
      <w:r>
        <w:rPr>
          <w:rFonts w:ascii="Palatino Linotype" w:hAnsi="Palatino Linotype" w:cs="Arial"/>
          <w:sz w:val="24"/>
          <w:szCs w:val="24"/>
        </w:rPr>
        <w:t>arguyó</w:t>
      </w:r>
      <w:r w:rsidR="0000525F" w:rsidRPr="0001046D">
        <w:rPr>
          <w:rFonts w:ascii="Palatino Linotype" w:hAnsi="Palatino Linotype" w:cs="Arial"/>
          <w:sz w:val="24"/>
          <w:szCs w:val="24"/>
        </w:rPr>
        <w:t xml:space="preserve"> </w:t>
      </w:r>
      <w:r w:rsidR="00D150B0">
        <w:rPr>
          <w:rFonts w:ascii="Palatino Linotype" w:hAnsi="Palatino Linotype" w:cs="Arial"/>
          <w:sz w:val="24"/>
          <w:szCs w:val="24"/>
        </w:rPr>
        <w:t>el</w:t>
      </w:r>
      <w:r w:rsidR="00E90EB5" w:rsidRPr="0001046D">
        <w:rPr>
          <w:rFonts w:ascii="Palatino Linotype" w:hAnsi="Palatino Linotype" w:cs="Arial"/>
          <w:b/>
          <w:sz w:val="24"/>
          <w:szCs w:val="24"/>
        </w:rPr>
        <w:t xml:space="preserve"> </w:t>
      </w:r>
      <w:r w:rsidRPr="008E4128">
        <w:rPr>
          <w:rFonts w:ascii="Palatino Linotype" w:hAnsi="Palatino Linotype" w:cs="Arial"/>
          <w:b/>
          <w:sz w:val="24"/>
          <w:szCs w:val="24"/>
        </w:rPr>
        <w:t>RECURRENTE</w:t>
      </w:r>
      <w:r w:rsidR="0046491C" w:rsidRPr="0001046D">
        <w:rPr>
          <w:rFonts w:ascii="Palatino Linotype" w:hAnsi="Palatino Linotype" w:cs="Arial"/>
          <w:sz w:val="24"/>
          <w:szCs w:val="24"/>
        </w:rPr>
        <w:t>, en</w:t>
      </w:r>
      <w:r w:rsidR="00AA49F3" w:rsidRPr="0001046D">
        <w:rPr>
          <w:rFonts w:ascii="Palatino Linotype" w:hAnsi="Palatino Linotype" w:cs="Arial"/>
          <w:sz w:val="24"/>
          <w:szCs w:val="24"/>
        </w:rPr>
        <w:t xml:space="preserve"> términos de</w:t>
      </w:r>
      <w:r w:rsidR="009A277B">
        <w:rPr>
          <w:rFonts w:ascii="Palatino Linotype" w:hAnsi="Palatino Linotype" w:cs="Arial"/>
          <w:sz w:val="24"/>
          <w:szCs w:val="24"/>
        </w:rPr>
        <w:t>l</w:t>
      </w:r>
      <w:r w:rsidR="00E305E3">
        <w:rPr>
          <w:rFonts w:ascii="Palatino Linotype" w:hAnsi="Palatino Linotype" w:cs="Arial"/>
          <w:sz w:val="24"/>
          <w:szCs w:val="24"/>
        </w:rPr>
        <w:t xml:space="preserve"> </w:t>
      </w:r>
      <w:r w:rsidR="00AA49F3" w:rsidRPr="0001046D">
        <w:rPr>
          <w:rFonts w:ascii="Palatino Linotype" w:hAnsi="Palatino Linotype" w:cs="Arial"/>
          <w:sz w:val="24"/>
          <w:szCs w:val="24"/>
        </w:rPr>
        <w:t xml:space="preserve">Considerando </w:t>
      </w:r>
      <w:r w:rsidR="00D150B0">
        <w:rPr>
          <w:rFonts w:ascii="Palatino Linotype" w:hAnsi="Palatino Linotype" w:cs="Arial"/>
          <w:sz w:val="24"/>
          <w:szCs w:val="24"/>
        </w:rPr>
        <w:t>Quinto</w:t>
      </w:r>
      <w:r w:rsidR="00BF3534" w:rsidRPr="0001046D">
        <w:rPr>
          <w:rFonts w:ascii="Palatino Linotype" w:hAnsi="Palatino Linotype" w:cs="Arial"/>
          <w:sz w:val="24"/>
          <w:szCs w:val="24"/>
        </w:rPr>
        <w:t xml:space="preserve"> de la resolución</w:t>
      </w:r>
      <w:r w:rsidR="006E1859">
        <w:rPr>
          <w:rFonts w:ascii="Palatino Linotype" w:hAnsi="Palatino Linotype" w:cs="Arial"/>
          <w:sz w:val="24"/>
          <w:szCs w:val="24"/>
        </w:rPr>
        <w:t>,</w:t>
      </w:r>
      <w:r w:rsidR="00BF3534" w:rsidRPr="0001046D">
        <w:rPr>
          <w:rFonts w:ascii="Palatino Linotype" w:hAnsi="Palatino Linotype" w:cs="Arial"/>
          <w:sz w:val="24"/>
          <w:szCs w:val="24"/>
        </w:rPr>
        <w:t xml:space="preserve"> por lo que</w:t>
      </w:r>
      <w:r w:rsidR="00D150B0">
        <w:rPr>
          <w:rFonts w:ascii="Palatino Linotype" w:hAnsi="Palatino Linotype" w:cs="Arial"/>
          <w:sz w:val="24"/>
          <w:szCs w:val="24"/>
        </w:rPr>
        <w:t xml:space="preserve"> determinó</w:t>
      </w:r>
      <w:r w:rsidR="00BF3534" w:rsidRPr="0001046D">
        <w:rPr>
          <w:rFonts w:ascii="Palatino Linotype" w:hAnsi="Palatino Linotype" w:cs="Arial"/>
          <w:sz w:val="24"/>
          <w:szCs w:val="24"/>
        </w:rPr>
        <w:t xml:space="preserve"> </w:t>
      </w:r>
      <w:r w:rsidR="009A277B">
        <w:rPr>
          <w:rFonts w:ascii="Palatino Linotype" w:hAnsi="Palatino Linotype" w:cs="Arial"/>
          <w:b/>
          <w:sz w:val="24"/>
          <w:szCs w:val="24"/>
        </w:rPr>
        <w:t>ordenar</w:t>
      </w:r>
      <w:r w:rsidR="00E305E3">
        <w:rPr>
          <w:rFonts w:ascii="Palatino Linotype" w:hAnsi="Palatino Linotype" w:cs="Arial"/>
          <w:sz w:val="24"/>
          <w:szCs w:val="24"/>
        </w:rPr>
        <w:t xml:space="preserve"> </w:t>
      </w:r>
      <w:r w:rsidR="009A277B">
        <w:rPr>
          <w:rFonts w:ascii="Palatino Linotype" w:hAnsi="Palatino Linotype" w:cs="Arial"/>
          <w:sz w:val="24"/>
          <w:szCs w:val="24"/>
        </w:rPr>
        <w:t xml:space="preserve">la </w:t>
      </w:r>
      <w:r w:rsidR="00E305E3">
        <w:rPr>
          <w:rFonts w:ascii="Palatino Linotype" w:hAnsi="Palatino Linotype" w:cs="Arial"/>
          <w:sz w:val="24"/>
          <w:szCs w:val="24"/>
        </w:rPr>
        <w:t>entrega en versión pública la siguiente información:</w:t>
      </w:r>
    </w:p>
    <w:p w:rsidR="009A277B" w:rsidRPr="009A277B" w:rsidRDefault="00D150B0" w:rsidP="009A277B">
      <w:pPr>
        <w:pStyle w:val="Prrafodelista"/>
        <w:spacing w:after="0" w:line="360" w:lineRule="auto"/>
        <w:ind w:right="-93"/>
        <w:jc w:val="both"/>
        <w:rPr>
          <w:rFonts w:ascii="Palatino Linotype" w:hAnsi="Palatino Linotype" w:cs="Tahoma"/>
          <w:bCs/>
          <w:i/>
        </w:rPr>
      </w:pPr>
      <w:r w:rsidRPr="009A277B">
        <w:rPr>
          <w:rFonts w:ascii="Palatino Linotype" w:eastAsia="Palatino Linotype" w:hAnsi="Palatino Linotype" w:cs="Palatino Linotype"/>
          <w:i/>
        </w:rPr>
        <w:t>“</w:t>
      </w:r>
      <w:r w:rsidR="009A277B">
        <w:rPr>
          <w:rFonts w:ascii="Palatino Linotype" w:eastAsia="Palatino Linotype" w:hAnsi="Palatino Linotype" w:cs="Palatino Linotype"/>
          <w:i/>
        </w:rPr>
        <w:t xml:space="preserve">1. </w:t>
      </w:r>
      <w:r w:rsidR="009A277B" w:rsidRPr="009A277B">
        <w:rPr>
          <w:rFonts w:ascii="Palatino Linotype" w:hAnsi="Palatino Linotype" w:cs="Tahoma"/>
          <w:bCs/>
          <w:i/>
        </w:rPr>
        <w:t xml:space="preserve">Los Convenios de terminación laboral que celebró el Ayuntamiento de Valle de Chalco Solidaridad en los años dos mil dieciséis, dos mil diecisiete y dos mil dieciocho con ex servidores públicos, de los cuales no podrá omitirse el nombre completo de los ex servidores públicos o de quien reciba el pago del finiquito a nombre de ellos. </w:t>
      </w:r>
    </w:p>
    <w:p w:rsidR="009A277B" w:rsidRPr="009A277B" w:rsidRDefault="009A277B" w:rsidP="009A277B">
      <w:pPr>
        <w:pStyle w:val="Prrafodelista"/>
        <w:spacing w:line="360" w:lineRule="auto"/>
        <w:ind w:right="-93"/>
        <w:jc w:val="both"/>
        <w:rPr>
          <w:rFonts w:ascii="Palatino Linotype" w:hAnsi="Palatino Linotype" w:cs="Tahoma"/>
          <w:bCs/>
          <w:i/>
        </w:rPr>
      </w:pPr>
    </w:p>
    <w:p w:rsidR="009A277B" w:rsidRPr="009A277B" w:rsidRDefault="009A277B" w:rsidP="009A277B">
      <w:pPr>
        <w:pStyle w:val="Prrafodelista"/>
        <w:spacing w:after="0" w:line="360" w:lineRule="auto"/>
        <w:ind w:right="-93"/>
        <w:jc w:val="both"/>
        <w:rPr>
          <w:rFonts w:ascii="Palatino Linotype" w:hAnsi="Palatino Linotype" w:cs="Tahoma"/>
          <w:bCs/>
          <w:i/>
        </w:rPr>
      </w:pPr>
      <w:r>
        <w:rPr>
          <w:rFonts w:ascii="Palatino Linotype" w:hAnsi="Palatino Linotype" w:cs="Tahoma"/>
          <w:bCs/>
          <w:i/>
        </w:rPr>
        <w:t xml:space="preserve">2. </w:t>
      </w:r>
      <w:r w:rsidRPr="009A277B">
        <w:rPr>
          <w:rFonts w:ascii="Palatino Linotype" w:hAnsi="Palatino Linotype" w:cs="Tahoma"/>
          <w:bCs/>
          <w:i/>
        </w:rPr>
        <w:t>Las pólizas de cheques por el pago de finiquitos de los Convenios de terminación laboral celebrados entre el Sujeto Obligado y los ex servidores públicos en los años dos mil dieciséis, dos mil diecisiete y dos mil dieciocho.</w:t>
      </w:r>
    </w:p>
    <w:p w:rsidR="009A277B" w:rsidRPr="009A277B" w:rsidRDefault="009A277B" w:rsidP="009A277B">
      <w:pPr>
        <w:pStyle w:val="Prrafodelista"/>
        <w:spacing w:line="360" w:lineRule="auto"/>
        <w:ind w:right="-93"/>
        <w:jc w:val="both"/>
        <w:rPr>
          <w:rFonts w:ascii="Palatino Linotype" w:hAnsi="Palatino Linotype" w:cs="Tahoma"/>
          <w:bCs/>
          <w:i/>
        </w:rPr>
      </w:pPr>
    </w:p>
    <w:p w:rsidR="00E305E3" w:rsidRDefault="009A277B" w:rsidP="009A277B">
      <w:pPr>
        <w:spacing w:before="240" w:after="240" w:line="360" w:lineRule="auto"/>
        <w:ind w:leftChars="257" w:left="565" w:rightChars="151" w:right="332"/>
        <w:jc w:val="both"/>
        <w:rPr>
          <w:rFonts w:ascii="Palatino Linotype" w:eastAsia="Palatino Linotype" w:hAnsi="Palatino Linotype" w:cs="Palatino Linotype"/>
          <w:i/>
        </w:rPr>
      </w:pPr>
      <w:r w:rsidRPr="009A277B">
        <w:rPr>
          <w:rFonts w:ascii="Palatino Linotype" w:hAnsi="Palatino Linotype" w:cs="Tahoma"/>
          <w:i/>
          <w:lang w:val="es-ES"/>
        </w:rPr>
        <w:lastRenderedPageBreak/>
        <w:t>Junto con la documentación se deberá entregar el Acuerdo del Comité de Transparencia mediante el cual se funde y motive la eliminación de la información reservada y confidencial, en términos del artículo 140, fracción IV y 143, fracción I de la Ley de Transparencia y Acceso a la Información Pública del Estado de México y Municipios.</w:t>
      </w:r>
      <w:r w:rsidR="00D150B0" w:rsidRPr="009A277B">
        <w:rPr>
          <w:rFonts w:ascii="Palatino Linotype" w:eastAsia="Palatino Linotype" w:hAnsi="Palatino Linotype" w:cs="Palatino Linotype"/>
          <w:i/>
        </w:rPr>
        <w:t>”</w:t>
      </w:r>
    </w:p>
    <w:p w:rsidR="00DD36F5" w:rsidRPr="009A277B" w:rsidRDefault="00DD36F5" w:rsidP="00DD36F5">
      <w:pPr>
        <w:spacing w:before="240" w:after="240" w:line="360" w:lineRule="auto"/>
        <w:ind w:rightChars="151" w:right="332"/>
        <w:jc w:val="both"/>
        <w:rPr>
          <w:rFonts w:ascii="Palatino Linotype" w:hAnsi="Palatino Linotype" w:cs="Arial"/>
          <w:i/>
          <w:sz w:val="24"/>
          <w:szCs w:val="24"/>
        </w:rPr>
      </w:pPr>
    </w:p>
    <w:p w:rsidR="00DD31EB" w:rsidRPr="00E305E3" w:rsidRDefault="00E305E3" w:rsidP="006451E1">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E305E3">
        <w:rPr>
          <w:rFonts w:ascii="Palatino Linotype" w:hAnsi="Palatino Linotype" w:cs="Arial"/>
          <w:sz w:val="24"/>
          <w:szCs w:val="24"/>
        </w:rPr>
        <w:t>Dicho lo anterior, mi voto particular se deriva porque, a consideración de un servidor,</w:t>
      </w:r>
      <w:r w:rsidR="00DD36F5">
        <w:rPr>
          <w:rFonts w:ascii="Palatino Linotype" w:hAnsi="Palatino Linotype" w:cs="Arial"/>
          <w:sz w:val="24"/>
          <w:szCs w:val="24"/>
        </w:rPr>
        <w:t xml:space="preserve"> los convenios en que se haga referencia a ex servidores públicos que formaron parte del personal de Seguridad Pública deberían entregarse efectivamente en versión pública como manifiesta la resolución, empero habiendo disociado la información referente a los nombres, y no solo testarlos.</w:t>
      </w:r>
    </w:p>
    <w:p w:rsidR="00EA2C08" w:rsidRPr="00EA2C08" w:rsidRDefault="00EA2C08" w:rsidP="00734C24">
      <w:pPr>
        <w:pStyle w:val="Prrafodelista"/>
        <w:tabs>
          <w:tab w:val="left" w:pos="426"/>
        </w:tabs>
        <w:spacing w:before="240" w:after="240" w:line="360" w:lineRule="auto"/>
        <w:ind w:left="502" w:right="49"/>
        <w:jc w:val="both"/>
        <w:rPr>
          <w:rFonts w:ascii="Palatino Linotype" w:hAnsi="Palatino Linotype" w:cs="Arial"/>
          <w:sz w:val="24"/>
          <w:szCs w:val="24"/>
        </w:rPr>
      </w:pPr>
    </w:p>
    <w:p w:rsidR="0046491C" w:rsidRDefault="0046491C" w:rsidP="00734C2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w:t>
      </w:r>
      <w:r w:rsidR="00FF3CDD">
        <w:rPr>
          <w:rFonts w:ascii="Palatino Linotype" w:hAnsi="Palatino Linotype" w:cs="Arial"/>
          <w:sz w:val="24"/>
          <w:szCs w:val="24"/>
        </w:rPr>
        <w:t>,</w:t>
      </w:r>
      <w:r w:rsidRPr="0001046D">
        <w:rPr>
          <w:rFonts w:ascii="Palatino Linotype" w:hAnsi="Palatino Linotype" w:cs="Arial"/>
          <w:sz w:val="24"/>
          <w:szCs w:val="24"/>
        </w:rPr>
        <w:t xml:space="preserve"> formulo el presente voto particular. </w:t>
      </w:r>
    </w:p>
    <w:p w:rsidR="00D66E5F" w:rsidRDefault="00D66E5F" w:rsidP="00E34F08">
      <w:pPr>
        <w:pStyle w:val="Prrafodelista"/>
        <w:rPr>
          <w:rFonts w:ascii="Palatino Linotype" w:hAnsi="Palatino Linotype" w:cs="Arial"/>
          <w:sz w:val="24"/>
          <w:szCs w:val="24"/>
        </w:rPr>
      </w:pPr>
    </w:p>
    <w:p w:rsidR="0046491C" w:rsidRPr="0001046D" w:rsidRDefault="0046491C" w:rsidP="00382D3E">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535252755"/>
      <w:r w:rsidRPr="0001046D">
        <w:rPr>
          <w:rFonts w:ascii="Palatino Linotype" w:hAnsi="Palatino Linotype"/>
          <w:b/>
          <w:color w:val="auto"/>
          <w:sz w:val="24"/>
          <w:szCs w:val="24"/>
        </w:rPr>
        <w:t>De los requerimientos planteados en el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E305E3"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DD36F5">
        <w:rPr>
          <w:rFonts w:ascii="Palatino Linotype" w:hAnsi="Palatino Linotype" w:cs="Arial"/>
          <w:sz w:val="24"/>
          <w:szCs w:val="24"/>
        </w:rPr>
        <w:t>veinticuatro</w:t>
      </w:r>
      <w:r>
        <w:rPr>
          <w:rFonts w:ascii="Palatino Linotype" w:hAnsi="Palatino Linotype" w:cs="Arial"/>
          <w:sz w:val="24"/>
          <w:szCs w:val="24"/>
        </w:rPr>
        <w:t xml:space="preserve"> (</w:t>
      </w:r>
      <w:r w:rsidR="00DD36F5">
        <w:rPr>
          <w:rFonts w:ascii="Palatino Linotype" w:hAnsi="Palatino Linotype" w:cs="Arial"/>
          <w:sz w:val="24"/>
          <w:szCs w:val="24"/>
        </w:rPr>
        <w:t>24</w:t>
      </w:r>
      <w:r>
        <w:rPr>
          <w:rFonts w:ascii="Palatino Linotype" w:hAnsi="Palatino Linotype" w:cs="Arial"/>
          <w:sz w:val="24"/>
          <w:szCs w:val="24"/>
        </w:rPr>
        <w:t xml:space="preserve">) de </w:t>
      </w:r>
      <w:r w:rsidR="004303EC">
        <w:rPr>
          <w:rFonts w:ascii="Palatino Linotype" w:hAnsi="Palatino Linotype" w:cs="Arial"/>
          <w:sz w:val="24"/>
          <w:szCs w:val="24"/>
        </w:rPr>
        <w:t>septiembre</w:t>
      </w:r>
      <w:r>
        <w:rPr>
          <w:rFonts w:ascii="Palatino Linotype" w:hAnsi="Palatino Linotype" w:cs="Arial"/>
          <w:sz w:val="24"/>
          <w:szCs w:val="24"/>
        </w:rPr>
        <w:t xml:space="preserve"> de dos mil dieciocho, se presentó la solicitud de información </w:t>
      </w:r>
      <w:r w:rsidR="00DD36F5">
        <w:rPr>
          <w:rFonts w:ascii="Palatino Linotype" w:hAnsi="Palatino Linotype" w:cs="Arial"/>
          <w:b/>
          <w:sz w:val="24"/>
          <w:szCs w:val="24"/>
        </w:rPr>
        <w:t>00200</w:t>
      </w:r>
      <w:r>
        <w:rPr>
          <w:rFonts w:ascii="Palatino Linotype" w:hAnsi="Palatino Linotype" w:cs="Arial"/>
          <w:b/>
          <w:sz w:val="24"/>
          <w:szCs w:val="24"/>
        </w:rPr>
        <w:t>/</w:t>
      </w:r>
      <w:r w:rsidR="00DD36F5">
        <w:rPr>
          <w:rFonts w:ascii="Palatino Linotype" w:hAnsi="Palatino Linotype" w:cs="Arial"/>
          <w:b/>
          <w:sz w:val="24"/>
          <w:szCs w:val="24"/>
        </w:rPr>
        <w:t>VACHASO</w:t>
      </w:r>
      <w:r>
        <w:rPr>
          <w:rFonts w:ascii="Palatino Linotype" w:hAnsi="Palatino Linotype" w:cs="Arial"/>
          <w:b/>
          <w:sz w:val="24"/>
          <w:szCs w:val="24"/>
        </w:rPr>
        <w:t>/IP</w:t>
      </w:r>
      <w:r w:rsidRPr="00E305E3">
        <w:rPr>
          <w:rFonts w:ascii="Palatino Linotype" w:hAnsi="Palatino Linotype" w:cs="Arial"/>
          <w:b/>
          <w:sz w:val="24"/>
          <w:szCs w:val="24"/>
        </w:rPr>
        <w:t>/2018</w:t>
      </w:r>
      <w:r>
        <w:rPr>
          <w:rFonts w:ascii="Palatino Linotype" w:hAnsi="Palatino Linotype" w:cs="Arial"/>
          <w:sz w:val="24"/>
          <w:szCs w:val="24"/>
        </w:rPr>
        <w:t xml:space="preserve">, mediante la que se </w:t>
      </w:r>
      <w:r w:rsidR="00413496" w:rsidRPr="00E305E3">
        <w:rPr>
          <w:rFonts w:ascii="Palatino Linotype" w:hAnsi="Palatino Linotype" w:cs="Arial"/>
          <w:sz w:val="24"/>
          <w:szCs w:val="24"/>
        </w:rPr>
        <w:t>requirió</w:t>
      </w:r>
      <w:r w:rsidR="00413496" w:rsidRPr="00F25783">
        <w:rPr>
          <w:rFonts w:ascii="Palatino Linotype" w:hAnsi="Palatino Linotype" w:cs="Arial"/>
          <w:sz w:val="24"/>
          <w:szCs w:val="24"/>
        </w:rPr>
        <w:t xml:space="preserve"> de</w:t>
      </w:r>
      <w:r w:rsidR="00FF3CDD">
        <w:rPr>
          <w:rFonts w:ascii="Palatino Linotype" w:hAnsi="Palatino Linotype" w:cs="Arial"/>
          <w:sz w:val="24"/>
          <w:szCs w:val="24"/>
        </w:rPr>
        <w:t>l</w:t>
      </w:r>
      <w:r w:rsidR="00413496" w:rsidRPr="00F25783">
        <w:rPr>
          <w:rFonts w:ascii="Palatino Linotype" w:hAnsi="Palatino Linotype" w:cs="Arial"/>
          <w:sz w:val="24"/>
          <w:szCs w:val="24"/>
        </w:rPr>
        <w:t xml:space="preserve"> </w:t>
      </w:r>
      <w:r w:rsidR="00FF3CDD">
        <w:rPr>
          <w:rFonts w:ascii="Palatino Linotype" w:hAnsi="Palatino Linotype" w:cs="Arial"/>
          <w:b/>
          <w:sz w:val="24"/>
          <w:szCs w:val="24"/>
        </w:rPr>
        <w:t xml:space="preserve">Ayuntamiento de </w:t>
      </w:r>
      <w:r w:rsidR="00DD36F5">
        <w:rPr>
          <w:rFonts w:ascii="Palatino Linotype" w:hAnsi="Palatino Linotype" w:cs="Arial"/>
          <w:b/>
          <w:sz w:val="24"/>
          <w:szCs w:val="24"/>
        </w:rPr>
        <w:t>Valle de Chalco Solidaridad</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Pr>
          <w:rFonts w:ascii="Palatino Linotype" w:hAnsi="Palatino Linotype" w:cs="Arial"/>
          <w:sz w:val="24"/>
          <w:szCs w:val="24"/>
        </w:rPr>
        <w:t>siguiente:</w:t>
      </w:r>
    </w:p>
    <w:p w:rsidR="00FF3CDD" w:rsidRPr="00B94DA0" w:rsidRDefault="00FF3CDD" w:rsidP="00382D3E">
      <w:pPr>
        <w:ind w:left="567" w:right="567"/>
        <w:jc w:val="both"/>
        <w:rPr>
          <w:rFonts w:ascii="Palatino Linotype" w:hAnsi="Palatino Linotype" w:cs="Arial"/>
          <w:b/>
          <w:i/>
        </w:rPr>
      </w:pPr>
      <w:r w:rsidRPr="00506538">
        <w:rPr>
          <w:rFonts w:ascii="Palatino Linotype" w:hAnsi="Palatino Linotype" w:cs="Arial"/>
          <w:i/>
          <w:lang w:eastAsia="es-MX"/>
        </w:rPr>
        <w:t>“</w:t>
      </w:r>
      <w:r w:rsidR="00DD36F5" w:rsidRPr="00DD36F5">
        <w:rPr>
          <w:rFonts w:ascii="Palatino Linotype" w:hAnsi="Palatino Linotype" w:cs="Arial"/>
          <w:i/>
          <w:lang w:eastAsia="es-MX"/>
        </w:rPr>
        <w:t xml:space="preserve">Con fundamento jurídico en el artículo 6 de la Constitución Política de los Estados Unidos Mexicanos y del artículo 5 de la Constitución Política del Estado Libre y </w:t>
      </w:r>
      <w:r w:rsidR="00DD36F5" w:rsidRPr="00DD36F5">
        <w:rPr>
          <w:rFonts w:ascii="Palatino Linotype" w:hAnsi="Palatino Linotype" w:cs="Arial"/>
          <w:i/>
          <w:lang w:eastAsia="es-MX"/>
        </w:rPr>
        <w:lastRenderedPageBreak/>
        <w:t>Soberano de 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 ENERO A SEPTIEMBRE DEL AÑO 2018. Agradecemos su pronta respuesta.</w:t>
      </w:r>
      <w:r w:rsidRPr="00B94DA0">
        <w:rPr>
          <w:rFonts w:ascii="Palatino Linotype" w:hAnsi="Palatino Linotype" w:cs="Arial"/>
          <w:i/>
          <w:lang w:eastAsia="es-MX"/>
        </w:rPr>
        <w:t>”</w:t>
      </w:r>
      <w:r w:rsidRPr="00FF3CDD">
        <w:rPr>
          <w:rFonts w:ascii="Palatino Linotype" w:hAnsi="Palatino Linotype" w:cs="Arial"/>
          <w:lang w:eastAsia="es-MX"/>
        </w:rPr>
        <w:t>(</w:t>
      </w:r>
      <w:r>
        <w:rPr>
          <w:rFonts w:ascii="Palatino Linotype" w:hAnsi="Palatino Linotype" w:cs="Arial"/>
          <w:lang w:eastAsia="es-MX"/>
        </w:rPr>
        <w:t>S</w:t>
      </w:r>
      <w:r w:rsidRPr="00FF3CDD">
        <w:rPr>
          <w:rFonts w:ascii="Palatino Linotype" w:hAnsi="Palatino Linotype" w:cs="Arial"/>
          <w:lang w:eastAsia="es-MX"/>
        </w:rPr>
        <w:t>ic)</w:t>
      </w:r>
    </w:p>
    <w:p w:rsidR="009B4E7D" w:rsidRPr="00E35329" w:rsidRDefault="009B4E7D" w:rsidP="00E35329">
      <w:pPr>
        <w:spacing w:after="0" w:line="360" w:lineRule="auto"/>
        <w:jc w:val="both"/>
        <w:rPr>
          <w:rFonts w:ascii="Palatino Linotype" w:eastAsia="Times New Roman" w:hAnsi="Palatino Linotype" w:cs="Times New Roman"/>
          <w:i/>
          <w:sz w:val="24"/>
          <w:szCs w:val="24"/>
          <w:lang w:val="es-ES_tradnl" w:eastAsia="es-ES"/>
        </w:rPr>
      </w:pPr>
    </w:p>
    <w:p w:rsidR="00AE4797" w:rsidRPr="009B4E7D" w:rsidRDefault="00DD36F5" w:rsidP="00734C24">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De la constancia de autos que obran en el expediente electrónico del</w:t>
      </w:r>
      <w:r w:rsidR="00E305E3">
        <w:rPr>
          <w:rFonts w:ascii="Palatino Linotype" w:hAnsi="Palatino Linotype" w:cs="Arial"/>
          <w:sz w:val="24"/>
          <w:szCs w:val="24"/>
        </w:rPr>
        <w:t xml:space="preserve">, </w:t>
      </w:r>
      <w:r>
        <w:rPr>
          <w:rFonts w:ascii="Palatino Linotype" w:hAnsi="Palatino Linotype" w:cs="Arial"/>
          <w:sz w:val="24"/>
          <w:szCs w:val="24"/>
        </w:rPr>
        <w:t xml:space="preserve">se aprecia que </w:t>
      </w:r>
      <w:r w:rsidR="00E305E3">
        <w:rPr>
          <w:rFonts w:ascii="Palatino Linotype" w:hAnsi="Palatino Linotype" w:cs="Arial"/>
          <w:sz w:val="24"/>
          <w:szCs w:val="24"/>
        </w:rPr>
        <w:t>el</w:t>
      </w:r>
      <w:r w:rsidR="00AE4797">
        <w:rPr>
          <w:rFonts w:ascii="Palatino Linotype" w:hAnsi="Palatino Linotype" w:cs="Arial"/>
          <w:sz w:val="24"/>
          <w:szCs w:val="24"/>
        </w:rPr>
        <w:t xml:space="preserve">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Pr>
          <w:rFonts w:ascii="Palatino Linotype" w:hAnsi="Palatino Linotype" w:cs="Arial"/>
          <w:sz w:val="24"/>
          <w:szCs w:val="24"/>
        </w:rPr>
        <w:t xml:space="preserve">no otorgó respuesta a la solicitud de información, configurándose la figura jurídica de la </w:t>
      </w:r>
      <w:r>
        <w:rPr>
          <w:rFonts w:ascii="Palatino Linotype" w:hAnsi="Palatino Linotype" w:cs="Arial"/>
          <w:i/>
          <w:sz w:val="24"/>
          <w:szCs w:val="24"/>
        </w:rPr>
        <w:t>negativa ficta.</w:t>
      </w:r>
    </w:p>
    <w:p w:rsidR="009B4E7D" w:rsidRPr="00382D3E" w:rsidRDefault="009B4E7D" w:rsidP="00382D3E">
      <w:pPr>
        <w:spacing w:after="0" w:line="360" w:lineRule="auto"/>
        <w:ind w:right="616"/>
        <w:jc w:val="both"/>
        <w:rPr>
          <w:rFonts w:ascii="Palatino Linotype" w:eastAsia="Times New Roman" w:hAnsi="Palatino Linotype" w:cs="Times New Roman"/>
          <w:i/>
          <w:sz w:val="24"/>
          <w:szCs w:val="24"/>
          <w:lang w:val="es-ES_tradnl" w:eastAsia="es-ES"/>
        </w:rPr>
      </w:pPr>
    </w:p>
    <w:p w:rsidR="0094239C" w:rsidRDefault="00E305E3"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Derivado de </w:t>
      </w:r>
      <w:r w:rsidR="00DD36F5">
        <w:rPr>
          <w:rFonts w:ascii="Palatino Linotype" w:hAnsi="Palatino Linotype" w:cs="Arial"/>
          <w:sz w:val="24"/>
          <w:szCs w:val="24"/>
        </w:rPr>
        <w:t>lo anterior</w:t>
      </w:r>
      <w:r>
        <w:rPr>
          <w:rFonts w:ascii="Palatino Linotype" w:hAnsi="Palatino Linotype" w:cs="Arial"/>
          <w:sz w:val="24"/>
          <w:szCs w:val="24"/>
        </w:rPr>
        <w:t xml:space="preserve">, el </w:t>
      </w:r>
      <w:r w:rsidR="00DD36F5">
        <w:rPr>
          <w:rFonts w:ascii="Palatino Linotype" w:hAnsi="Palatino Linotype" w:cs="Arial"/>
          <w:sz w:val="24"/>
          <w:szCs w:val="24"/>
        </w:rPr>
        <w:t>diecisiete</w:t>
      </w:r>
      <w:r>
        <w:rPr>
          <w:rFonts w:ascii="Palatino Linotype" w:hAnsi="Palatino Linotype" w:cs="Arial"/>
          <w:sz w:val="24"/>
          <w:szCs w:val="24"/>
        </w:rPr>
        <w:t xml:space="preserve"> (</w:t>
      </w:r>
      <w:r w:rsidR="004303EC">
        <w:rPr>
          <w:rFonts w:ascii="Palatino Linotype" w:hAnsi="Palatino Linotype" w:cs="Arial"/>
          <w:sz w:val="24"/>
          <w:szCs w:val="24"/>
        </w:rPr>
        <w:t>1</w:t>
      </w:r>
      <w:r w:rsidR="00DD36F5">
        <w:rPr>
          <w:rFonts w:ascii="Palatino Linotype" w:hAnsi="Palatino Linotype" w:cs="Arial"/>
          <w:sz w:val="24"/>
          <w:szCs w:val="24"/>
        </w:rPr>
        <w:t>7</w:t>
      </w:r>
      <w:r>
        <w:rPr>
          <w:rFonts w:ascii="Palatino Linotype" w:hAnsi="Palatino Linotype" w:cs="Arial"/>
          <w:sz w:val="24"/>
          <w:szCs w:val="24"/>
        </w:rPr>
        <w:t>) de octubre de dos mil dieciocho</w:t>
      </w:r>
      <w:r w:rsidR="0046491C" w:rsidRPr="00382D3E">
        <w:rPr>
          <w:rFonts w:ascii="Palatino Linotype" w:hAnsi="Palatino Linotype" w:cs="Arial"/>
          <w:sz w:val="24"/>
          <w:szCs w:val="24"/>
        </w:rPr>
        <w:t>,</w:t>
      </w:r>
      <w:r w:rsidR="0046491C" w:rsidRPr="00382D3E">
        <w:rPr>
          <w:rFonts w:ascii="Palatino Linotype" w:hAnsi="Palatino Linotype" w:cs="Arial"/>
          <w:b/>
          <w:sz w:val="24"/>
          <w:szCs w:val="24"/>
        </w:rPr>
        <w:t xml:space="preserve"> </w:t>
      </w:r>
      <w:r w:rsidR="004303EC">
        <w:rPr>
          <w:rFonts w:ascii="Palatino Linotype" w:hAnsi="Palatino Linotype" w:cs="Arial"/>
          <w:sz w:val="24"/>
          <w:szCs w:val="24"/>
        </w:rPr>
        <w:t>el</w:t>
      </w:r>
      <w:r w:rsidR="00AE4797" w:rsidRPr="00382D3E">
        <w:rPr>
          <w:rFonts w:ascii="Palatino Linotype" w:hAnsi="Palatino Linotype" w:cs="Arial"/>
          <w:sz w:val="24"/>
          <w:szCs w:val="24"/>
        </w:rPr>
        <w:t xml:space="preserve"> </w:t>
      </w:r>
      <w:r>
        <w:rPr>
          <w:rFonts w:ascii="Palatino Linotype" w:hAnsi="Palatino Linotype" w:cs="Arial"/>
          <w:sz w:val="24"/>
          <w:szCs w:val="24"/>
        </w:rPr>
        <w:t xml:space="preserve">ahora </w:t>
      </w:r>
      <w:r w:rsidR="00E30CD7" w:rsidRPr="00382D3E">
        <w:rPr>
          <w:rFonts w:ascii="Palatino Linotype" w:hAnsi="Palatino Linotype" w:cs="Arial"/>
          <w:b/>
          <w:sz w:val="24"/>
          <w:szCs w:val="24"/>
        </w:rPr>
        <w:t>RECURRENTE</w:t>
      </w:r>
      <w:r w:rsidR="00382D3E" w:rsidRPr="00382D3E">
        <w:rPr>
          <w:rFonts w:ascii="Palatino Linotype" w:hAnsi="Palatino Linotype" w:cs="Arial"/>
          <w:b/>
          <w:sz w:val="24"/>
          <w:szCs w:val="24"/>
        </w:rPr>
        <w:t>,</w:t>
      </w:r>
      <w:r w:rsidR="00382D3E" w:rsidRPr="00382D3E">
        <w:rPr>
          <w:rFonts w:ascii="Palatino Linotype" w:hAnsi="Palatino Linotype" w:cs="Arial"/>
          <w:sz w:val="24"/>
          <w:szCs w:val="24"/>
        </w:rPr>
        <w:t xml:space="preserve"> </w:t>
      </w:r>
      <w:r>
        <w:rPr>
          <w:rFonts w:ascii="Palatino Linotype" w:hAnsi="Palatino Linotype" w:cs="Arial"/>
          <w:sz w:val="24"/>
          <w:szCs w:val="24"/>
        </w:rPr>
        <w:t>promovió el recurso de revisión</w:t>
      </w:r>
      <w:r w:rsidR="00382D3E" w:rsidRPr="00382D3E">
        <w:rPr>
          <w:rFonts w:ascii="Palatino Linotype" w:hAnsi="Palatino Linotype" w:cs="Arial"/>
          <w:sz w:val="24"/>
          <w:szCs w:val="24"/>
        </w:rPr>
        <w:t xml:space="preserve"> </w:t>
      </w:r>
      <w:r w:rsidR="00DD36F5">
        <w:rPr>
          <w:rFonts w:ascii="Palatino Linotype" w:hAnsi="Palatino Linotype" w:cs="Arial"/>
          <w:b/>
          <w:sz w:val="24"/>
          <w:szCs w:val="24"/>
        </w:rPr>
        <w:t>03991</w:t>
      </w:r>
      <w:r w:rsidR="00382D3E" w:rsidRPr="00382D3E">
        <w:rPr>
          <w:rFonts w:ascii="Palatino Linotype" w:hAnsi="Palatino Linotype" w:cs="Arial"/>
          <w:b/>
          <w:sz w:val="24"/>
          <w:szCs w:val="24"/>
        </w:rPr>
        <w:t>/INFOEM/IP/RR/2018</w:t>
      </w:r>
      <w:r w:rsidR="00382D3E" w:rsidRPr="00382D3E">
        <w:rPr>
          <w:rFonts w:ascii="Palatino Linotype" w:hAnsi="Palatino Linotype" w:cs="Arial"/>
          <w:sz w:val="24"/>
          <w:szCs w:val="24"/>
        </w:rPr>
        <w:t xml:space="preserve">, </w:t>
      </w:r>
      <w:r>
        <w:rPr>
          <w:rFonts w:ascii="Palatino Linotype" w:hAnsi="Palatino Linotype" w:cs="Arial"/>
          <w:sz w:val="24"/>
          <w:szCs w:val="24"/>
        </w:rPr>
        <w:t xml:space="preserve">en el que </w:t>
      </w:r>
      <w:r w:rsidR="00382D3E" w:rsidRPr="00382D3E">
        <w:rPr>
          <w:rFonts w:ascii="Palatino Linotype" w:hAnsi="Palatino Linotype" w:cs="Arial"/>
          <w:sz w:val="24"/>
          <w:szCs w:val="24"/>
        </w:rPr>
        <w:t>manifestó como A</w:t>
      </w:r>
      <w:r w:rsidR="00382D3E">
        <w:rPr>
          <w:rFonts w:ascii="Palatino Linotype" w:hAnsi="Palatino Linotype" w:cs="Arial"/>
          <w:sz w:val="24"/>
          <w:szCs w:val="24"/>
        </w:rPr>
        <w:t xml:space="preserve">cto Impugnado y Razones o </w:t>
      </w:r>
      <w:r>
        <w:rPr>
          <w:rFonts w:ascii="Palatino Linotype" w:hAnsi="Palatino Linotype" w:cs="Arial"/>
          <w:sz w:val="24"/>
          <w:szCs w:val="24"/>
        </w:rPr>
        <w:t xml:space="preserve">Motivos de Inconformidad </w:t>
      </w:r>
      <w:r w:rsidR="004303EC">
        <w:rPr>
          <w:rFonts w:ascii="Palatino Linotype" w:hAnsi="Palatino Linotype" w:cs="Arial"/>
          <w:sz w:val="24"/>
          <w:szCs w:val="24"/>
        </w:rPr>
        <w:t>lo siguiente:</w:t>
      </w:r>
    </w:p>
    <w:p w:rsidR="00C70D03" w:rsidRDefault="00C70D03" w:rsidP="004303EC">
      <w:pPr>
        <w:pStyle w:val="Prrafodelista"/>
        <w:tabs>
          <w:tab w:val="left" w:pos="426"/>
        </w:tabs>
        <w:spacing w:before="240" w:after="240" w:line="360" w:lineRule="auto"/>
        <w:ind w:left="0"/>
        <w:jc w:val="both"/>
        <w:rPr>
          <w:rFonts w:ascii="Palatino Linotype" w:hAnsi="Palatino Linotype" w:cs="Arial"/>
          <w:sz w:val="24"/>
          <w:szCs w:val="24"/>
        </w:rPr>
      </w:pPr>
    </w:p>
    <w:p w:rsidR="004303EC" w:rsidRPr="004303EC" w:rsidRDefault="004303EC" w:rsidP="00C70D03">
      <w:pPr>
        <w:pStyle w:val="Prrafodelista"/>
        <w:tabs>
          <w:tab w:val="left" w:pos="426"/>
        </w:tabs>
        <w:spacing w:before="240" w:after="240" w:line="360" w:lineRule="auto"/>
        <w:ind w:left="567" w:right="567"/>
        <w:jc w:val="both"/>
        <w:rPr>
          <w:rFonts w:ascii="Palatino Linotype" w:hAnsi="Palatino Linotype" w:cs="Arial"/>
          <w:i/>
          <w:sz w:val="24"/>
          <w:szCs w:val="24"/>
        </w:rPr>
      </w:pPr>
      <w:r>
        <w:rPr>
          <w:rFonts w:ascii="Palatino Linotype" w:hAnsi="Palatino Linotype" w:cs="Arial"/>
          <w:sz w:val="24"/>
          <w:szCs w:val="24"/>
        </w:rPr>
        <w:t xml:space="preserve">Acto impugnado: </w:t>
      </w:r>
      <w:r>
        <w:rPr>
          <w:rFonts w:ascii="Palatino Linotype" w:hAnsi="Palatino Linotype" w:cs="Arial"/>
          <w:i/>
          <w:sz w:val="24"/>
          <w:szCs w:val="24"/>
        </w:rPr>
        <w:t>“</w:t>
      </w:r>
      <w:r w:rsidR="00DD36F5" w:rsidRPr="00DD36F5">
        <w:rPr>
          <w:rFonts w:ascii="Palatino Linotype" w:hAnsi="Palatino Linotype" w:cs="Arial"/>
          <w:i/>
          <w:sz w:val="24"/>
          <w:szCs w:val="24"/>
        </w:rPr>
        <w:t>La falta de respuesta a una solicitud de acceso a la información.</w:t>
      </w:r>
      <w:r w:rsidR="00C70D03">
        <w:rPr>
          <w:rFonts w:ascii="Palatino Linotype" w:hAnsi="Palatino Linotype" w:cs="Arial"/>
          <w:i/>
          <w:sz w:val="24"/>
          <w:szCs w:val="24"/>
        </w:rPr>
        <w:t>”</w:t>
      </w:r>
    </w:p>
    <w:p w:rsidR="004303EC" w:rsidRDefault="004303EC" w:rsidP="00C70D03">
      <w:pPr>
        <w:pStyle w:val="Prrafodelista"/>
        <w:tabs>
          <w:tab w:val="left" w:pos="426"/>
        </w:tabs>
        <w:spacing w:before="240" w:after="240" w:line="360" w:lineRule="auto"/>
        <w:ind w:left="567" w:right="567"/>
        <w:jc w:val="both"/>
        <w:rPr>
          <w:rFonts w:ascii="Palatino Linotype" w:hAnsi="Palatino Linotype" w:cs="Arial"/>
          <w:sz w:val="24"/>
          <w:szCs w:val="24"/>
        </w:rPr>
      </w:pPr>
    </w:p>
    <w:p w:rsidR="004303EC" w:rsidRDefault="004303EC" w:rsidP="00C70D03">
      <w:pPr>
        <w:pStyle w:val="Prrafodelista"/>
        <w:tabs>
          <w:tab w:val="left" w:pos="426"/>
        </w:tabs>
        <w:spacing w:before="240" w:after="240" w:line="360" w:lineRule="auto"/>
        <w:ind w:left="567" w:right="567"/>
        <w:jc w:val="both"/>
        <w:rPr>
          <w:rFonts w:ascii="Palatino Linotype" w:hAnsi="Palatino Linotype" w:cs="Arial"/>
          <w:sz w:val="24"/>
          <w:szCs w:val="24"/>
        </w:rPr>
      </w:pPr>
      <w:r>
        <w:rPr>
          <w:rFonts w:ascii="Palatino Linotype" w:hAnsi="Palatino Linotype" w:cs="Arial"/>
          <w:sz w:val="24"/>
          <w:szCs w:val="24"/>
        </w:rPr>
        <w:t>Razones o motivos de la inconformidad:</w:t>
      </w:r>
      <w:r w:rsidR="00C70D03">
        <w:rPr>
          <w:rFonts w:ascii="Palatino Linotype" w:hAnsi="Palatino Linotype" w:cs="Arial"/>
          <w:sz w:val="24"/>
          <w:szCs w:val="24"/>
        </w:rPr>
        <w:t xml:space="preserve"> </w:t>
      </w:r>
      <w:r w:rsidR="00C70D03" w:rsidRPr="00C70D03">
        <w:rPr>
          <w:rFonts w:ascii="Palatino Linotype" w:hAnsi="Palatino Linotype" w:cs="Arial"/>
          <w:i/>
          <w:sz w:val="24"/>
          <w:szCs w:val="24"/>
        </w:rPr>
        <w:t>“</w:t>
      </w:r>
      <w:r w:rsidR="00DD36F5" w:rsidRPr="00DD36F5">
        <w:rPr>
          <w:rFonts w:ascii="Palatino Linotype" w:hAnsi="Palatino Linotype" w:cs="Arial"/>
          <w:i/>
          <w:sz w:val="24"/>
          <w:szCs w:val="24"/>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w:t>
      </w:r>
      <w:r w:rsidR="00C70D03" w:rsidRPr="00C70D03">
        <w:rPr>
          <w:rFonts w:ascii="Palatino Linotype" w:hAnsi="Palatino Linotype" w:cs="Arial"/>
          <w:i/>
          <w:sz w:val="24"/>
          <w:szCs w:val="24"/>
        </w:rPr>
        <w:t>”</w:t>
      </w:r>
    </w:p>
    <w:p w:rsidR="00382D3E" w:rsidRDefault="00382D3E" w:rsidP="00382D3E">
      <w:pPr>
        <w:pStyle w:val="Prrafodelista"/>
        <w:tabs>
          <w:tab w:val="left" w:pos="426"/>
        </w:tabs>
        <w:spacing w:before="240" w:after="240" w:line="360" w:lineRule="auto"/>
        <w:ind w:left="0"/>
        <w:jc w:val="both"/>
        <w:rPr>
          <w:rFonts w:ascii="Palatino Linotype" w:hAnsi="Palatino Linotype" w:cs="Arial"/>
          <w:sz w:val="24"/>
          <w:szCs w:val="24"/>
        </w:rPr>
      </w:pPr>
    </w:p>
    <w:p w:rsidR="00AC4562" w:rsidRDefault="00AC4562" w:rsidP="00734C24">
      <w:pPr>
        <w:pStyle w:val="Prrafodelista"/>
        <w:numPr>
          <w:ilvl w:val="0"/>
          <w:numId w:val="1"/>
        </w:numPr>
        <w:tabs>
          <w:tab w:val="left" w:pos="426"/>
        </w:tabs>
        <w:spacing w:before="240" w:after="240" w:line="360" w:lineRule="auto"/>
        <w:ind w:left="0" w:firstLine="0"/>
        <w:jc w:val="both"/>
        <w:rPr>
          <w:rFonts w:ascii="Palatino Linotype" w:hAnsi="Palatino Linotype" w:cs="Arial"/>
          <w:sz w:val="24"/>
          <w:szCs w:val="24"/>
        </w:rPr>
      </w:pPr>
      <w:r>
        <w:rPr>
          <w:rFonts w:ascii="Palatino Linotype" w:hAnsi="Palatino Linotype" w:cs="Arial"/>
          <w:sz w:val="24"/>
          <w:szCs w:val="24"/>
        </w:rPr>
        <w:lastRenderedPageBreak/>
        <w:t xml:space="preserve">El </w:t>
      </w:r>
      <w:r w:rsidR="00C70D03">
        <w:rPr>
          <w:rFonts w:ascii="Palatino Linotype" w:hAnsi="Palatino Linotype" w:cs="Arial"/>
          <w:sz w:val="24"/>
          <w:szCs w:val="24"/>
        </w:rPr>
        <w:t>treinta</w:t>
      </w:r>
      <w:r w:rsidR="00DD36F5">
        <w:rPr>
          <w:rFonts w:ascii="Palatino Linotype" w:hAnsi="Palatino Linotype" w:cs="Arial"/>
          <w:sz w:val="24"/>
          <w:szCs w:val="24"/>
        </w:rPr>
        <w:t xml:space="preserve"> y uno</w:t>
      </w:r>
      <w:r>
        <w:rPr>
          <w:rFonts w:ascii="Palatino Linotype" w:hAnsi="Palatino Linotype" w:cs="Arial"/>
          <w:sz w:val="24"/>
          <w:szCs w:val="24"/>
        </w:rPr>
        <w:t xml:space="preserve"> (</w:t>
      </w:r>
      <w:r w:rsidR="00C70D03">
        <w:rPr>
          <w:rFonts w:ascii="Palatino Linotype" w:hAnsi="Palatino Linotype" w:cs="Arial"/>
          <w:sz w:val="24"/>
          <w:szCs w:val="24"/>
        </w:rPr>
        <w:t>3</w:t>
      </w:r>
      <w:r w:rsidR="00DD36F5">
        <w:rPr>
          <w:rFonts w:ascii="Palatino Linotype" w:hAnsi="Palatino Linotype" w:cs="Arial"/>
          <w:sz w:val="24"/>
          <w:szCs w:val="24"/>
        </w:rPr>
        <w:t>1</w:t>
      </w:r>
      <w:r>
        <w:rPr>
          <w:rFonts w:ascii="Palatino Linotype" w:hAnsi="Palatino Linotype" w:cs="Arial"/>
          <w:sz w:val="24"/>
          <w:szCs w:val="24"/>
        </w:rPr>
        <w:t xml:space="preserve">) de </w:t>
      </w:r>
      <w:r w:rsidR="00C70D03">
        <w:rPr>
          <w:rFonts w:ascii="Palatino Linotype" w:hAnsi="Palatino Linotype" w:cs="Arial"/>
          <w:sz w:val="24"/>
          <w:szCs w:val="24"/>
        </w:rPr>
        <w:t>octubre</w:t>
      </w:r>
      <w:r>
        <w:rPr>
          <w:rFonts w:ascii="Palatino Linotype" w:hAnsi="Palatino Linotype" w:cs="Arial"/>
          <w:sz w:val="24"/>
          <w:szCs w:val="24"/>
        </w:rPr>
        <w:t xml:space="preserve"> de dos mil dieciocho,</w:t>
      </w:r>
      <w:r w:rsidR="00DD36F5">
        <w:rPr>
          <w:rFonts w:ascii="Palatino Linotype" w:hAnsi="Palatino Linotype" w:cs="Arial"/>
          <w:sz w:val="24"/>
          <w:szCs w:val="24"/>
        </w:rPr>
        <w:t xml:space="preserve"> el </w:t>
      </w:r>
      <w:r w:rsidR="00DD36F5">
        <w:rPr>
          <w:rFonts w:ascii="Palatino Linotype" w:hAnsi="Palatino Linotype" w:cs="Arial"/>
          <w:b/>
          <w:sz w:val="24"/>
          <w:szCs w:val="24"/>
        </w:rPr>
        <w:t>SUJETO OBLIGADO</w:t>
      </w:r>
      <w:r w:rsidR="00DD36F5">
        <w:rPr>
          <w:rFonts w:ascii="Palatino Linotype" w:hAnsi="Palatino Linotype" w:cs="Arial"/>
          <w:sz w:val="24"/>
          <w:szCs w:val="24"/>
        </w:rPr>
        <w:t xml:space="preserve"> subió al apartado de </w:t>
      </w:r>
      <w:r w:rsidR="00DD36F5">
        <w:rPr>
          <w:rFonts w:ascii="Palatino Linotype" w:hAnsi="Palatino Linotype" w:cs="Arial"/>
          <w:i/>
          <w:sz w:val="24"/>
          <w:szCs w:val="24"/>
        </w:rPr>
        <w:t>Manifestaciones</w:t>
      </w:r>
      <w:r w:rsidR="00DD36F5">
        <w:rPr>
          <w:rFonts w:ascii="Palatino Linotype" w:hAnsi="Palatino Linotype" w:cs="Arial"/>
          <w:sz w:val="24"/>
          <w:szCs w:val="24"/>
        </w:rPr>
        <w:t xml:space="preserve"> del SAIMEX los siguientes archivos:</w:t>
      </w:r>
    </w:p>
    <w:p w:rsidR="00DD36F5" w:rsidRDefault="00DD36F5" w:rsidP="00DD36F5">
      <w:pPr>
        <w:pStyle w:val="Prrafodelista"/>
        <w:tabs>
          <w:tab w:val="left" w:pos="426"/>
        </w:tabs>
        <w:spacing w:before="240" w:after="240" w:line="360" w:lineRule="auto"/>
        <w:ind w:left="0"/>
        <w:jc w:val="center"/>
        <w:rPr>
          <w:rFonts w:ascii="Palatino Linotype" w:hAnsi="Palatino Linotype" w:cs="Arial"/>
          <w:sz w:val="24"/>
          <w:szCs w:val="24"/>
        </w:rPr>
      </w:pPr>
      <w:r>
        <w:rPr>
          <w:noProof/>
          <w:lang w:eastAsia="es-MX"/>
        </w:rPr>
        <w:drawing>
          <wp:inline distT="0" distB="0" distL="0" distR="0" wp14:anchorId="0EA12279" wp14:editId="7B8F0EF1">
            <wp:extent cx="4717156" cy="3467819"/>
            <wp:effectExtent l="57150" t="57150" r="121920" b="1136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901" t="18311" r="25755" b="17195"/>
                    <a:stretch/>
                  </pic:blipFill>
                  <pic:spPr bwMode="auto">
                    <a:xfrm>
                      <a:off x="0" y="0"/>
                      <a:ext cx="4732209" cy="347888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DD36F5" w:rsidRDefault="00DD36F5" w:rsidP="00AC4562">
      <w:pPr>
        <w:pStyle w:val="Prrafodelista"/>
        <w:tabs>
          <w:tab w:val="left" w:pos="426"/>
        </w:tabs>
        <w:spacing w:before="240" w:after="240" w:line="360" w:lineRule="auto"/>
        <w:ind w:left="0"/>
        <w:jc w:val="both"/>
        <w:rPr>
          <w:rFonts w:ascii="Palatino Linotype" w:hAnsi="Palatino Linotype" w:cs="Arial"/>
          <w:sz w:val="24"/>
          <w:szCs w:val="24"/>
        </w:rPr>
      </w:pPr>
    </w:p>
    <w:p w:rsidR="00DD36F5" w:rsidRDefault="00DD36F5" w:rsidP="006642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Archivos que se vislumbran en el apartado de </w:t>
      </w:r>
      <w:r>
        <w:rPr>
          <w:rFonts w:ascii="Palatino Linotype" w:hAnsi="Palatino Linotype" w:cs="Arial"/>
          <w:i/>
          <w:sz w:val="24"/>
          <w:szCs w:val="24"/>
        </w:rPr>
        <w:t>Archivos enviados por el Recurrente</w:t>
      </w:r>
      <w:r>
        <w:rPr>
          <w:rFonts w:ascii="Palatino Linotype" w:hAnsi="Palatino Linotype" w:cs="Arial"/>
          <w:sz w:val="24"/>
          <w:szCs w:val="24"/>
        </w:rPr>
        <w:t xml:space="preserve"> debido a un error técnico en el funcionamiento del SAIMEX, sim embargo, los archivos responden al informe justificado ofrecido por el </w:t>
      </w:r>
      <w:r>
        <w:rPr>
          <w:rFonts w:ascii="Palatino Linotype" w:hAnsi="Palatino Linotype" w:cs="Arial"/>
          <w:b/>
          <w:sz w:val="24"/>
          <w:szCs w:val="24"/>
        </w:rPr>
        <w:t>SUJETO OBLIGADO</w:t>
      </w:r>
      <w:r>
        <w:rPr>
          <w:rFonts w:ascii="Palatino Linotype" w:hAnsi="Palatino Linotype" w:cs="Arial"/>
          <w:sz w:val="24"/>
          <w:szCs w:val="24"/>
        </w:rPr>
        <w:t xml:space="preserve">, así </w:t>
      </w:r>
      <w:r w:rsidR="000504F9">
        <w:rPr>
          <w:rFonts w:ascii="Palatino Linotype" w:hAnsi="Palatino Linotype" w:cs="Arial"/>
          <w:sz w:val="24"/>
          <w:szCs w:val="24"/>
        </w:rPr>
        <w:t>como once (11) convenios realizados entre el Ayuntamiento y distintos ex servidores públicos finiquitando su relación laboral.</w:t>
      </w:r>
    </w:p>
    <w:p w:rsidR="00DD36F5" w:rsidRDefault="00DD36F5" w:rsidP="00DD36F5">
      <w:pPr>
        <w:pStyle w:val="Prrafodelista"/>
        <w:tabs>
          <w:tab w:val="left" w:pos="426"/>
        </w:tabs>
        <w:spacing w:before="240" w:after="240" w:line="360" w:lineRule="auto"/>
        <w:ind w:left="0" w:right="49"/>
        <w:jc w:val="both"/>
        <w:rPr>
          <w:rFonts w:ascii="Palatino Linotype" w:hAnsi="Palatino Linotype" w:cs="Arial"/>
          <w:sz w:val="24"/>
          <w:szCs w:val="24"/>
        </w:rPr>
      </w:pPr>
    </w:p>
    <w:p w:rsidR="00651380" w:rsidRDefault="00DD36F5" w:rsidP="006642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P</w:t>
      </w:r>
      <w:r w:rsidR="00664234">
        <w:rPr>
          <w:rFonts w:ascii="Palatino Linotype" w:hAnsi="Palatino Linotype" w:cs="Arial"/>
          <w:sz w:val="24"/>
          <w:szCs w:val="24"/>
        </w:rPr>
        <w:t>or lo que habiendo expuesto los antecedentes del expediente del recurso de revisión que al rubro se indica, me permito formular el presente voto particular.</w:t>
      </w:r>
    </w:p>
    <w:p w:rsidR="00664234" w:rsidRPr="00651380" w:rsidRDefault="00664234" w:rsidP="00664234">
      <w:pPr>
        <w:pStyle w:val="Prrafodelista"/>
        <w:tabs>
          <w:tab w:val="left" w:pos="426"/>
        </w:tabs>
        <w:spacing w:before="240" w:after="240" w:line="360" w:lineRule="auto"/>
        <w:ind w:left="0" w:right="49"/>
        <w:jc w:val="both"/>
        <w:rPr>
          <w:rFonts w:ascii="Palatino Linotype" w:hAnsi="Palatino Linotype" w:cs="Arial"/>
          <w:sz w:val="24"/>
          <w:szCs w:val="24"/>
        </w:rPr>
      </w:pPr>
    </w:p>
    <w:p w:rsidR="0046491C" w:rsidRPr="0001046D" w:rsidRDefault="000504F9" w:rsidP="0066423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2" w:name="_Toc535252756"/>
      <w:r>
        <w:rPr>
          <w:rFonts w:ascii="Palatino Linotype" w:hAnsi="Palatino Linotype"/>
          <w:b/>
          <w:color w:val="auto"/>
          <w:sz w:val="24"/>
          <w:szCs w:val="24"/>
        </w:rPr>
        <w:t>De la determinación de reservar los nombres de los ex servidores públicos que se desempeñaron en Seguridad Ciudadana</w:t>
      </w:r>
      <w:r w:rsidR="0046491C" w:rsidRPr="0001046D">
        <w:rPr>
          <w:rFonts w:ascii="Palatino Linotype" w:hAnsi="Palatino Linotype"/>
          <w:b/>
          <w:color w:val="auto"/>
          <w:sz w:val="24"/>
          <w:szCs w:val="24"/>
        </w:rPr>
        <w:t>.</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504F9" w:rsidRDefault="000504F9" w:rsidP="000504F9">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Pr>
          <w:rFonts w:ascii="Palatino Linotype" w:hAnsi="Palatino Linotype" w:cs="Arial"/>
          <w:sz w:val="24"/>
          <w:szCs w:val="24"/>
        </w:rPr>
        <w:t>La Ponencia Resolutora determinó clasificar los nombres de los ex servidores públicos pertenecientes a Seguridad Ciudadana en base a las siguientes consideraciones:</w:t>
      </w:r>
    </w:p>
    <w:p w:rsidR="008F4AE3" w:rsidRDefault="008F4AE3" w:rsidP="000504F9">
      <w:pPr>
        <w:pStyle w:val="Prrafodelista"/>
        <w:tabs>
          <w:tab w:val="left" w:pos="426"/>
        </w:tabs>
        <w:spacing w:after="0" w:line="360" w:lineRule="auto"/>
        <w:ind w:left="567" w:rightChars="567" w:right="1247"/>
        <w:jc w:val="both"/>
        <w:rPr>
          <w:rFonts w:ascii="Palatino Linotype" w:hAnsi="Palatino Linotype" w:cs="Tahoma"/>
          <w:i/>
          <w:lang w:val="es-ES"/>
        </w:rPr>
      </w:pPr>
    </w:p>
    <w:p w:rsidR="000504F9" w:rsidRDefault="000504F9" w:rsidP="000504F9">
      <w:pPr>
        <w:pStyle w:val="Prrafodelista"/>
        <w:tabs>
          <w:tab w:val="left" w:pos="426"/>
        </w:tabs>
        <w:spacing w:after="0" w:line="360" w:lineRule="auto"/>
        <w:ind w:left="567" w:rightChars="567" w:right="1247"/>
        <w:jc w:val="both"/>
        <w:rPr>
          <w:rFonts w:ascii="Palatino Linotype" w:hAnsi="Palatino Linotype" w:cs="Tahoma"/>
          <w:i/>
          <w:lang w:val="es-ES"/>
        </w:rPr>
      </w:pPr>
      <w:r w:rsidRPr="000504F9">
        <w:rPr>
          <w:rFonts w:ascii="Palatino Linotype" w:hAnsi="Palatino Linotype" w:cs="Tahoma"/>
          <w:i/>
          <w:lang w:val="es-ES"/>
        </w:rPr>
        <w:t>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aun cuando estos hayan dejado de ejercer en el servicio público,  por lo que proporcionarlos puede llegar a poner en riesgo su vida, salud o seguridad, propiciando un detrimento en el esfuerzo que realiza el Ayuntamiento para garantizar la seguridad.</w:t>
      </w:r>
    </w:p>
    <w:p w:rsidR="000504F9" w:rsidRPr="000504F9" w:rsidRDefault="000504F9" w:rsidP="000504F9">
      <w:pPr>
        <w:pStyle w:val="Prrafodelista"/>
        <w:tabs>
          <w:tab w:val="left" w:pos="426"/>
        </w:tabs>
        <w:spacing w:after="0" w:line="360" w:lineRule="auto"/>
        <w:ind w:left="567" w:rightChars="567" w:right="1247"/>
        <w:jc w:val="both"/>
        <w:rPr>
          <w:rFonts w:ascii="Palatino Linotype" w:hAnsi="Palatino Linotype" w:cs="Tahoma"/>
          <w:i/>
          <w:lang w:val="es-ES"/>
        </w:rPr>
      </w:pPr>
      <w:r w:rsidRPr="000504F9">
        <w:rPr>
          <w:rFonts w:ascii="Palatino Linotype" w:hAnsi="Palatino Linotype" w:cs="Tahoma"/>
          <w:i/>
          <w:lang w:val="es-ES"/>
        </w:rPr>
        <w:t>(…)</w:t>
      </w:r>
    </w:p>
    <w:p w:rsidR="000504F9" w:rsidRPr="000504F9" w:rsidRDefault="000504F9" w:rsidP="000504F9">
      <w:pPr>
        <w:tabs>
          <w:tab w:val="left" w:pos="4962"/>
        </w:tabs>
        <w:spacing w:line="360" w:lineRule="auto"/>
        <w:ind w:left="567" w:rightChars="567" w:right="1247"/>
        <w:jc w:val="both"/>
        <w:rPr>
          <w:rFonts w:ascii="Palatino Linotype" w:hAnsi="Palatino Linotype" w:cs="Tahoma"/>
          <w:i/>
          <w:lang w:val="es-ES"/>
        </w:rPr>
      </w:pPr>
      <w:r w:rsidRPr="000504F9">
        <w:rPr>
          <w:rFonts w:ascii="Palatino Linotype" w:hAnsi="Palatino Linotype" w:cs="Tahoma"/>
          <w:i/>
          <w:lang w:val="es-ES"/>
        </w:rPr>
        <w:lastRenderedPageBreak/>
        <w:t>Por tanto, si se toma en cuenta que los ex servidores públicos que se dedicaron a funciones de seguridad pública en el Ayuntamiento de Valle de Chalco Solidaridad operan con los recursos del propio Municipio para combatir la delincuencia y que esta última ha escalado en gran medida durante los últimos años en la Entidad, con el homicidio uno de los más exacerbados; resulta un escenario riesgoso para quienes ejercieron la función policial, que ciertamente puede poner en riesgo su vida, seguridad y salud.</w:t>
      </w:r>
    </w:p>
    <w:p w:rsidR="000504F9" w:rsidRPr="000504F9" w:rsidRDefault="000504F9" w:rsidP="000504F9">
      <w:pPr>
        <w:tabs>
          <w:tab w:val="left" w:pos="4962"/>
        </w:tabs>
        <w:spacing w:line="360" w:lineRule="auto"/>
        <w:ind w:left="567" w:rightChars="567" w:right="1247"/>
        <w:jc w:val="both"/>
        <w:rPr>
          <w:rFonts w:ascii="Palatino Linotype" w:hAnsi="Palatino Linotype" w:cs="Tahoma"/>
          <w:i/>
          <w:lang w:val="es-ES"/>
        </w:rPr>
      </w:pPr>
      <w:r w:rsidRPr="000504F9">
        <w:rPr>
          <w:rFonts w:ascii="Palatino Linotype" w:hAnsi="Palatino Linotype" w:cs="Tahoma"/>
          <w:i/>
          <w:lang w:val="es-ES"/>
        </w:rPr>
        <w:t xml:space="preserve">En ese sentido, hacer identificable a un ex servidor público que realizó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w:t>
      </w:r>
    </w:p>
    <w:p w:rsidR="000504F9" w:rsidRPr="000504F9" w:rsidRDefault="000504F9" w:rsidP="000504F9">
      <w:pPr>
        <w:tabs>
          <w:tab w:val="left" w:pos="4962"/>
        </w:tabs>
        <w:spacing w:line="360" w:lineRule="auto"/>
        <w:ind w:left="567" w:rightChars="567" w:right="1247"/>
        <w:jc w:val="both"/>
        <w:rPr>
          <w:rFonts w:ascii="Palatino Linotype" w:hAnsi="Palatino Linotype" w:cs="Tahoma"/>
          <w:i/>
          <w:lang w:val="es-ES"/>
        </w:rPr>
      </w:pPr>
      <w:r w:rsidRPr="000504F9">
        <w:rPr>
          <w:rFonts w:ascii="Palatino Linotype" w:hAnsi="Palatino Linotype" w:cs="Tahoma"/>
          <w:i/>
          <w:lang w:val="es-ES"/>
        </w:rPr>
        <w:t xml:space="preserve">Por tanto, si bien el nombre de los ex servidores públicos que formaron parte del </w:t>
      </w:r>
      <w:proofErr w:type="gramStart"/>
      <w:r w:rsidRPr="000504F9">
        <w:rPr>
          <w:rFonts w:ascii="Palatino Linotype" w:hAnsi="Palatino Linotype" w:cs="Tahoma"/>
          <w:i/>
          <w:lang w:val="es-ES"/>
        </w:rPr>
        <w:t>cuerpo</w:t>
      </w:r>
      <w:proofErr w:type="gramEnd"/>
      <w:r w:rsidRPr="000504F9">
        <w:rPr>
          <w:rFonts w:ascii="Palatino Linotype" w:hAnsi="Palatino Linotype" w:cs="Tahoma"/>
          <w:i/>
          <w:lang w:val="es-ES"/>
        </w:rPr>
        <w:t xml:space="preserve"> policial del Ayuntamiento actualiza el supuesto de reserva establecido en el artículo 140, fracción IV, de la Ley de Transparencia y Acceso a la Información Pública del Estado de México y Municipios, lo cierto es que cualquier tipo de percepciones de los servidores públicos son de carácter público, tal como lo señala el artículo 23, párrafo segundo de la Ley en cita.</w:t>
      </w:r>
    </w:p>
    <w:p w:rsidR="000504F9" w:rsidRPr="000504F9" w:rsidRDefault="000504F9" w:rsidP="000504F9">
      <w:pPr>
        <w:pStyle w:val="Prrafodelista"/>
        <w:tabs>
          <w:tab w:val="left" w:pos="426"/>
        </w:tabs>
        <w:spacing w:after="0" w:line="360" w:lineRule="auto"/>
        <w:ind w:left="567" w:rightChars="567" w:right="1247"/>
        <w:jc w:val="both"/>
        <w:rPr>
          <w:rFonts w:ascii="Palatino Linotype" w:hAnsi="Palatino Linotype"/>
          <w:i/>
          <w:sz w:val="24"/>
          <w:szCs w:val="24"/>
        </w:rPr>
      </w:pPr>
      <w:r w:rsidRPr="000504F9">
        <w:rPr>
          <w:rFonts w:ascii="Palatino Linotype" w:hAnsi="Palatino Linotype" w:cs="Tahoma"/>
          <w:i/>
          <w:lang w:val="es-ES"/>
        </w:rPr>
        <w:lastRenderedPageBreak/>
        <w:t>En ese sentido, el Sujeto Obligado debe proporcionar el Convenio en que se haga referencia a ex servidores públicos que formaron parte del personal de seguridad pública, en versión pública, testando el nombre de dichos exfuncionarios y proporcionando todo lo relativo al cargo y finiquitos, con la precisión de que el nombre del personal administrativo y aquel que no realice funciones operativas es público y procede su entrega.</w:t>
      </w:r>
    </w:p>
    <w:p w:rsidR="000504F9" w:rsidRPr="000504F9" w:rsidRDefault="000504F9" w:rsidP="000504F9">
      <w:pPr>
        <w:pStyle w:val="Prrafodelista"/>
        <w:tabs>
          <w:tab w:val="left" w:pos="426"/>
        </w:tabs>
        <w:spacing w:after="0" w:line="360" w:lineRule="auto"/>
        <w:ind w:left="0" w:right="49"/>
        <w:jc w:val="both"/>
        <w:rPr>
          <w:rFonts w:ascii="Palatino Linotype" w:hAnsi="Palatino Linotype"/>
          <w:sz w:val="24"/>
          <w:szCs w:val="24"/>
        </w:rPr>
      </w:pPr>
    </w:p>
    <w:p w:rsidR="000504F9" w:rsidRPr="000504F9" w:rsidRDefault="000504F9" w:rsidP="000504F9">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Pr>
          <w:rFonts w:ascii="Palatino Linotype" w:hAnsi="Palatino Linotype" w:cs="Arial"/>
          <w:sz w:val="24"/>
          <w:szCs w:val="24"/>
        </w:rPr>
        <w:t xml:space="preserve">Por las anteriores consideraciones, debo manifestar que, por </w:t>
      </w:r>
      <w:r>
        <w:rPr>
          <w:rFonts w:ascii="Palatino Linotype" w:hAnsi="Palatino Linotype" w:cs="Arial"/>
          <w:sz w:val="24"/>
          <w:szCs w:val="24"/>
        </w:rPr>
        <w:t>un lado si bien es cierto que la información ref</w:t>
      </w:r>
      <w:r>
        <w:rPr>
          <w:rFonts w:ascii="Palatino Linotype" w:hAnsi="Palatino Linotype" w:cs="Arial"/>
          <w:sz w:val="24"/>
          <w:szCs w:val="24"/>
        </w:rPr>
        <w:t>erente al personal operativo del personal de seguridad pública debería</w:t>
      </w:r>
      <w:r>
        <w:rPr>
          <w:rFonts w:ascii="Palatino Linotype" w:hAnsi="Palatino Linotype" w:cs="Arial"/>
          <w:sz w:val="24"/>
          <w:szCs w:val="24"/>
        </w:rPr>
        <w:t xml:space="preserve"> ser clasificada, al realizar funciones que tiene</w:t>
      </w:r>
      <w:r>
        <w:rPr>
          <w:rFonts w:ascii="Palatino Linotype" w:hAnsi="Palatino Linotype" w:cs="Arial"/>
          <w:sz w:val="24"/>
          <w:szCs w:val="24"/>
        </w:rPr>
        <w:t>n</w:t>
      </w:r>
      <w:r>
        <w:rPr>
          <w:rFonts w:ascii="Palatino Linotype" w:hAnsi="Palatino Linotype" w:cs="Arial"/>
          <w:sz w:val="24"/>
          <w:szCs w:val="24"/>
        </w:rPr>
        <w:t xml:space="preserve"> que ver con el combate a la delincuencia, y que el dar a conocer sus nombre puede poner en riesgo su vida, seguridad y salud; también es cierto que al ser servidores públicos que reciben por sueldo recursos públicos el régimen de protección de sus datos personales como lo son sus nombres se encuentran en un umbral de publicidad mayor al de los particulares, de modo que se debió buscar un punto de encuentro entre el derecho de acceso a la información y la protecci</w:t>
      </w:r>
      <w:r>
        <w:rPr>
          <w:rFonts w:ascii="Palatino Linotype" w:hAnsi="Palatino Linotype" w:cs="Arial"/>
          <w:sz w:val="24"/>
          <w:szCs w:val="24"/>
        </w:rPr>
        <w:t>ón de la identidad de los ex servidores públicos que se desenvolvieron como miembros de la seguridad pública.</w:t>
      </w:r>
    </w:p>
    <w:p w:rsidR="000504F9" w:rsidRPr="000504F9" w:rsidRDefault="000504F9" w:rsidP="000504F9">
      <w:pPr>
        <w:pStyle w:val="Prrafodelista"/>
        <w:tabs>
          <w:tab w:val="left" w:pos="426"/>
        </w:tabs>
        <w:spacing w:after="0" w:line="360" w:lineRule="auto"/>
        <w:ind w:left="0" w:right="49"/>
        <w:jc w:val="both"/>
        <w:rPr>
          <w:rFonts w:ascii="Palatino Linotype" w:hAnsi="Palatino Linotype"/>
          <w:sz w:val="24"/>
          <w:szCs w:val="24"/>
        </w:rPr>
      </w:pPr>
    </w:p>
    <w:p w:rsidR="000504F9" w:rsidRPr="000504F9" w:rsidRDefault="000504F9" w:rsidP="000504F9">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Pr>
          <w:rFonts w:ascii="Palatino Linotype" w:hAnsi="Palatino Linotype" w:cs="Arial"/>
          <w:sz w:val="24"/>
          <w:szCs w:val="24"/>
        </w:rPr>
        <w:t xml:space="preserve">Dicho lo anterior, no se debe pasar </w:t>
      </w:r>
      <w:r w:rsidRPr="00AE550E">
        <w:rPr>
          <w:rFonts w:ascii="Palatino Linotype" w:hAnsi="Palatino Linotype" w:cs="Arial"/>
          <w:sz w:val="24"/>
          <w:szCs w:val="24"/>
        </w:rPr>
        <w:t>por alto que toda la información generada, poseída o administrada por un ente público es pública y debe ser puesta a disposición de la ciudadanía de conformidad con el artículo 4 de la Ley de Transparencia y acceso a la Información Pública del Estado de México y Municipios, el cual dicta lo siguiente</w:t>
      </w:r>
      <w:r>
        <w:rPr>
          <w:rFonts w:ascii="Palatino Linotype" w:hAnsi="Palatino Linotype" w:cs="Arial"/>
          <w:sz w:val="24"/>
          <w:szCs w:val="24"/>
        </w:rPr>
        <w:t>:</w:t>
      </w:r>
    </w:p>
    <w:p w:rsidR="000504F9" w:rsidRDefault="000504F9" w:rsidP="000504F9">
      <w:pPr>
        <w:pStyle w:val="Sinespaciado"/>
        <w:ind w:leftChars="257" w:left="565" w:rightChars="280" w:right="616"/>
        <w:jc w:val="both"/>
        <w:rPr>
          <w:rFonts w:ascii="Palatino Linotype" w:hAnsi="Palatino Linotype"/>
          <w:i/>
        </w:rPr>
      </w:pPr>
      <w:r>
        <w:rPr>
          <w:rFonts w:ascii="Palatino Linotype" w:hAnsi="Palatino Linotype"/>
          <w:i/>
        </w:rPr>
        <w:lastRenderedPageBreak/>
        <w:t>“</w:t>
      </w:r>
      <w:r w:rsidRPr="00994F30">
        <w:rPr>
          <w:rFonts w:ascii="Palatino Linotype" w:hAnsi="Palatino Linotype"/>
          <w:b/>
          <w:i/>
        </w:rPr>
        <w:t>Artículo 4.</w:t>
      </w:r>
      <w:r w:rsidRPr="00994F30">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504F9" w:rsidRDefault="000504F9" w:rsidP="000504F9">
      <w:pPr>
        <w:pStyle w:val="Sinespaciado"/>
        <w:ind w:leftChars="257" w:left="565" w:rightChars="280" w:right="616"/>
        <w:jc w:val="both"/>
        <w:rPr>
          <w:rFonts w:ascii="Palatino Linotype" w:hAnsi="Palatino Linotype"/>
          <w:i/>
        </w:rPr>
      </w:pPr>
    </w:p>
    <w:p w:rsidR="000504F9" w:rsidRDefault="000504F9" w:rsidP="000504F9">
      <w:pPr>
        <w:pStyle w:val="Sinespaciado"/>
        <w:ind w:leftChars="257" w:left="565" w:rightChars="280" w:right="616"/>
        <w:jc w:val="both"/>
        <w:rPr>
          <w:rFonts w:ascii="Palatino Linotype" w:hAnsi="Palatino Linotype"/>
          <w:i/>
        </w:rPr>
      </w:pPr>
      <w:r w:rsidRPr="00994F30">
        <w:rPr>
          <w:rFonts w:ascii="Palatino Linotype" w:hAnsi="Palatino Linotype"/>
          <w:b/>
          <w:i/>
        </w:rPr>
        <w:t>Toda la información generada, obtenida, adquirida, transformada, administrada o en posesión de los sujetos obligados es pública y accesible de manera permanente a cualquier persona</w:t>
      </w:r>
      <w:r w:rsidRPr="00994F30">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994F30">
        <w:rPr>
          <w:rFonts w:ascii="Palatino Linotype" w:hAnsi="Palatino Linotype"/>
          <w:b/>
          <w:i/>
        </w:rPr>
        <w:t>Solo podrá ser clasificada excepcionalmente como reservada temporalmente por razones de interés público</w:t>
      </w:r>
      <w:r w:rsidRPr="00994F30">
        <w:rPr>
          <w:rFonts w:ascii="Palatino Linotype" w:hAnsi="Palatino Linotype"/>
          <w:i/>
        </w:rPr>
        <w:t xml:space="preserve">, en los términos de las causas legítimas y estrictamente necesarias previstas por esta Ley. </w:t>
      </w:r>
    </w:p>
    <w:p w:rsidR="000504F9" w:rsidRDefault="000504F9" w:rsidP="000504F9">
      <w:pPr>
        <w:pStyle w:val="Sinespaciado"/>
        <w:ind w:leftChars="257" w:left="565" w:rightChars="280" w:right="616"/>
        <w:jc w:val="both"/>
        <w:rPr>
          <w:rFonts w:ascii="Palatino Linotype" w:hAnsi="Palatino Linotype"/>
          <w:i/>
        </w:rPr>
      </w:pPr>
    </w:p>
    <w:p w:rsidR="000504F9" w:rsidRDefault="000504F9" w:rsidP="000504F9">
      <w:pPr>
        <w:pStyle w:val="Prrafodelista"/>
        <w:tabs>
          <w:tab w:val="left" w:pos="426"/>
        </w:tabs>
        <w:spacing w:after="0" w:line="360" w:lineRule="auto"/>
        <w:ind w:leftChars="257" w:left="565" w:rightChars="280" w:right="616"/>
        <w:jc w:val="both"/>
        <w:rPr>
          <w:rFonts w:ascii="Palatino Linotype" w:hAnsi="Palatino Linotype"/>
        </w:rPr>
      </w:pPr>
      <w:r w:rsidRPr="00994F30">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i/>
        </w:rPr>
        <w:t>”</w:t>
      </w:r>
    </w:p>
    <w:p w:rsidR="000504F9" w:rsidRPr="000504F9" w:rsidRDefault="000504F9" w:rsidP="000504F9">
      <w:pPr>
        <w:pStyle w:val="Prrafodelista"/>
        <w:tabs>
          <w:tab w:val="left" w:pos="426"/>
        </w:tabs>
        <w:spacing w:after="0" w:line="360" w:lineRule="auto"/>
        <w:ind w:leftChars="257" w:left="565" w:rightChars="280" w:right="616"/>
        <w:jc w:val="both"/>
        <w:rPr>
          <w:rFonts w:ascii="Palatino Linotype" w:hAnsi="Palatino Linotype"/>
          <w:sz w:val="24"/>
          <w:szCs w:val="24"/>
        </w:rPr>
      </w:pPr>
      <w:r>
        <w:rPr>
          <w:rFonts w:ascii="Palatino Linotype" w:hAnsi="Palatino Linotype"/>
        </w:rPr>
        <w:t>(Énfasis añadido)</w:t>
      </w:r>
    </w:p>
    <w:p w:rsidR="000504F9" w:rsidRPr="000504F9" w:rsidRDefault="000504F9" w:rsidP="000504F9">
      <w:pPr>
        <w:pStyle w:val="Prrafodelista"/>
        <w:tabs>
          <w:tab w:val="left" w:pos="426"/>
        </w:tabs>
        <w:spacing w:after="0" w:line="360" w:lineRule="auto"/>
        <w:ind w:left="0" w:right="49"/>
        <w:jc w:val="both"/>
        <w:rPr>
          <w:rFonts w:ascii="Palatino Linotype" w:hAnsi="Palatino Linotype"/>
          <w:sz w:val="24"/>
          <w:szCs w:val="24"/>
        </w:rPr>
      </w:pPr>
    </w:p>
    <w:p w:rsidR="000504F9" w:rsidRPr="000504F9" w:rsidRDefault="000504F9" w:rsidP="000504F9">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Pr>
          <w:rFonts w:ascii="Palatino Linotype" w:hAnsi="Palatino Linotype" w:cs="Arial"/>
          <w:sz w:val="24"/>
          <w:szCs w:val="24"/>
        </w:rPr>
        <w:t xml:space="preserve">Siendo de </w:t>
      </w:r>
      <w:r>
        <w:rPr>
          <w:rFonts w:ascii="Palatino Linotype" w:hAnsi="Palatino Linotype" w:cs="Arial"/>
          <w:sz w:val="24"/>
          <w:szCs w:val="24"/>
        </w:rPr>
        <w:t xml:space="preserve">tal manera que se debió ordenar la entrega de </w:t>
      </w:r>
      <w:r>
        <w:rPr>
          <w:rFonts w:ascii="Palatino Linotype" w:hAnsi="Palatino Linotype" w:cs="Arial"/>
          <w:sz w:val="24"/>
          <w:szCs w:val="24"/>
        </w:rPr>
        <w:t xml:space="preserve">los convenios realizados entre el </w:t>
      </w:r>
      <w:r>
        <w:rPr>
          <w:rFonts w:ascii="Palatino Linotype" w:hAnsi="Palatino Linotype" w:cs="Arial"/>
          <w:b/>
          <w:sz w:val="24"/>
          <w:szCs w:val="24"/>
        </w:rPr>
        <w:t>SUJETO OBLIGADO</w:t>
      </w:r>
      <w:r>
        <w:rPr>
          <w:rFonts w:ascii="Palatino Linotype" w:hAnsi="Palatino Linotype" w:cs="Arial"/>
          <w:sz w:val="24"/>
          <w:szCs w:val="24"/>
        </w:rPr>
        <w:t xml:space="preserve"> </w:t>
      </w:r>
      <w:r>
        <w:rPr>
          <w:rFonts w:ascii="Palatino Linotype" w:hAnsi="Palatino Linotype" w:cs="Arial"/>
          <w:sz w:val="24"/>
          <w:szCs w:val="24"/>
        </w:rPr>
        <w:t xml:space="preserve">y los ex miembros de la Dirección de Seguridad Ciudadana </w:t>
      </w:r>
      <w:r>
        <w:rPr>
          <w:rFonts w:ascii="Palatino Linotype" w:hAnsi="Palatino Linotype" w:cs="Arial"/>
          <w:sz w:val="24"/>
          <w:szCs w:val="24"/>
        </w:rPr>
        <w:t xml:space="preserve">de </w:t>
      </w:r>
      <w:r>
        <w:rPr>
          <w:rFonts w:ascii="Palatino Linotype" w:hAnsi="Palatino Linotype" w:cs="Arial"/>
          <w:b/>
          <w:sz w:val="24"/>
          <w:szCs w:val="24"/>
        </w:rPr>
        <w:t xml:space="preserve">manera disociada </w:t>
      </w:r>
      <w:r>
        <w:rPr>
          <w:rFonts w:ascii="Palatino Linotype" w:hAnsi="Palatino Linotype" w:cs="Arial"/>
          <w:sz w:val="24"/>
          <w:szCs w:val="24"/>
        </w:rPr>
        <w:t>a efecto de cumplir con las obligaciones de transparencia y rendición de cuenta pública, al tiempo que se protegían las identidades del personal.</w:t>
      </w:r>
      <w:r>
        <w:rPr>
          <w:rFonts w:ascii="Palatino Linotype" w:hAnsi="Palatino Linotype" w:cs="Arial"/>
          <w:sz w:val="24"/>
          <w:szCs w:val="24"/>
        </w:rPr>
        <w:t xml:space="preserve"> Más </w:t>
      </w:r>
      <w:proofErr w:type="spellStart"/>
      <w:r>
        <w:rPr>
          <w:rFonts w:ascii="Palatino Linotype" w:hAnsi="Palatino Linotype" w:cs="Arial"/>
          <w:sz w:val="24"/>
          <w:szCs w:val="24"/>
        </w:rPr>
        <w:t>aún</w:t>
      </w:r>
      <w:proofErr w:type="spellEnd"/>
      <w:r>
        <w:rPr>
          <w:rFonts w:ascii="Palatino Linotype" w:hAnsi="Palatino Linotype" w:cs="Arial"/>
          <w:sz w:val="24"/>
          <w:szCs w:val="24"/>
        </w:rPr>
        <w:t xml:space="preserve"> tomando en consideración que el pago de finiquito deviene de recursos públicos, los cuales deben ser </w:t>
      </w:r>
      <w:r w:rsidR="008F4AE3">
        <w:rPr>
          <w:rFonts w:ascii="Palatino Linotype" w:hAnsi="Palatino Linotype" w:cs="Arial"/>
          <w:sz w:val="24"/>
          <w:szCs w:val="24"/>
        </w:rPr>
        <w:t xml:space="preserve">entregados con plena claridad </w:t>
      </w:r>
      <w:r>
        <w:rPr>
          <w:rFonts w:ascii="Palatino Linotype" w:hAnsi="Palatino Linotype" w:cs="Arial"/>
          <w:sz w:val="24"/>
          <w:szCs w:val="24"/>
        </w:rPr>
        <w:t>a efecto de rendir la cuenta pública a la ciudadanía</w:t>
      </w:r>
      <w:r w:rsidRPr="000504F9">
        <w:rPr>
          <w:rFonts w:ascii="Palatino Linotype" w:hAnsi="Palatino Linotype" w:cs="Arial"/>
          <w:sz w:val="24"/>
          <w:szCs w:val="24"/>
        </w:rPr>
        <w:t xml:space="preserve"> </w:t>
      </w:r>
      <w:r w:rsidR="008F4AE3">
        <w:rPr>
          <w:rFonts w:ascii="Palatino Linotype" w:hAnsi="Palatino Linotype" w:cs="Arial"/>
          <w:sz w:val="24"/>
          <w:szCs w:val="24"/>
        </w:rPr>
        <w:t>con total transparencia.</w:t>
      </w:r>
    </w:p>
    <w:p w:rsidR="000504F9" w:rsidRPr="000504F9" w:rsidRDefault="000504F9" w:rsidP="000504F9">
      <w:pPr>
        <w:pStyle w:val="Prrafodelista"/>
        <w:tabs>
          <w:tab w:val="left" w:pos="426"/>
        </w:tabs>
        <w:spacing w:after="0" w:line="360" w:lineRule="auto"/>
        <w:ind w:left="0" w:right="49"/>
        <w:jc w:val="both"/>
        <w:rPr>
          <w:rFonts w:ascii="Palatino Linotype" w:hAnsi="Palatino Linotype"/>
          <w:sz w:val="24"/>
          <w:szCs w:val="24"/>
        </w:rPr>
      </w:pPr>
    </w:p>
    <w:p w:rsidR="000504F9" w:rsidRPr="000504F9" w:rsidRDefault="008F4AE3" w:rsidP="000504F9">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Pr>
          <w:rFonts w:ascii="Palatino Linotype" w:hAnsi="Palatino Linotype" w:cs="Arial"/>
          <w:sz w:val="24"/>
          <w:szCs w:val="24"/>
        </w:rPr>
        <w:lastRenderedPageBreak/>
        <w:t xml:space="preserve">Y es precisamente </w:t>
      </w:r>
      <w:r>
        <w:rPr>
          <w:rFonts w:ascii="Palatino Linotype" w:hAnsi="Palatino Linotype" w:cs="Arial"/>
          <w:sz w:val="24"/>
          <w:szCs w:val="24"/>
        </w:rPr>
        <w:t xml:space="preserve">para efectos de lo anterior, </w:t>
      </w:r>
      <w:r>
        <w:rPr>
          <w:rFonts w:ascii="Palatino Linotype" w:hAnsi="Palatino Linotype" w:cs="Arial"/>
          <w:sz w:val="24"/>
          <w:szCs w:val="24"/>
        </w:rPr>
        <w:t xml:space="preserve">que </w:t>
      </w:r>
      <w:r>
        <w:rPr>
          <w:rFonts w:ascii="Palatino Linotype" w:hAnsi="Palatino Linotype" w:cs="Arial"/>
          <w:sz w:val="24"/>
          <w:szCs w:val="24"/>
        </w:rPr>
        <w:t xml:space="preserve">el artículo 4 fracción XVI de la </w:t>
      </w:r>
      <w:r w:rsidRPr="00D66E5F">
        <w:rPr>
          <w:rFonts w:ascii="Palatino Linotype" w:eastAsia="MS Mincho" w:hAnsi="Palatino Linotype" w:cs="Times New Roman"/>
          <w:sz w:val="24"/>
        </w:rPr>
        <w:t>Ley de Protección de Datos Personales en posesión de Sujetos Obligados del Estado de México</w:t>
      </w:r>
      <w:r w:rsidRPr="00D66E5F">
        <w:rPr>
          <w:rFonts w:ascii="Palatino Linotype" w:eastAsia="MS Mincho" w:hAnsi="Palatino Linotype" w:cs="Times New Roman"/>
          <w:b/>
          <w:sz w:val="24"/>
        </w:rPr>
        <w:t xml:space="preserve"> </w:t>
      </w:r>
      <w:r w:rsidRPr="008B55C9">
        <w:rPr>
          <w:rFonts w:ascii="Palatino Linotype" w:eastAsia="MS Mincho" w:hAnsi="Palatino Linotype" w:cs="Times New Roman"/>
          <w:b/>
        </w:rPr>
        <w:t>y Municipios</w:t>
      </w:r>
      <w:r>
        <w:rPr>
          <w:rFonts w:ascii="Palatino Linotype" w:hAnsi="Palatino Linotype" w:cs="Arial"/>
          <w:sz w:val="24"/>
          <w:szCs w:val="24"/>
        </w:rPr>
        <w:t xml:space="preserve"> considera al concepto de </w:t>
      </w:r>
      <w:r>
        <w:rPr>
          <w:rFonts w:ascii="Palatino Linotype" w:hAnsi="Palatino Linotype" w:cs="Arial"/>
          <w:b/>
          <w:i/>
          <w:sz w:val="24"/>
          <w:szCs w:val="24"/>
        </w:rPr>
        <w:t>disociación</w:t>
      </w:r>
      <w:r>
        <w:rPr>
          <w:rFonts w:ascii="Palatino Linotype" w:hAnsi="Palatino Linotype" w:cs="Arial"/>
          <w:sz w:val="24"/>
          <w:szCs w:val="24"/>
        </w:rPr>
        <w:t xml:space="preserve"> de la siguiente manera:</w:t>
      </w:r>
    </w:p>
    <w:p w:rsidR="008F4AE3" w:rsidRPr="00112D9D" w:rsidRDefault="008F4AE3" w:rsidP="008F4AE3">
      <w:pPr>
        <w:pStyle w:val="Sinespaciado"/>
        <w:ind w:left="567" w:right="567"/>
        <w:jc w:val="both"/>
        <w:rPr>
          <w:rFonts w:ascii="Palatino Linotype" w:hAnsi="Palatino Linotype"/>
          <w:i/>
        </w:rPr>
      </w:pPr>
      <w:r w:rsidRPr="00112D9D">
        <w:rPr>
          <w:rFonts w:ascii="Palatino Linotype" w:hAnsi="Palatino Linotype"/>
          <w:i/>
        </w:rPr>
        <w:t>“</w:t>
      </w:r>
      <w:r w:rsidRPr="00112D9D">
        <w:rPr>
          <w:rFonts w:ascii="Palatino Linotype" w:hAnsi="Palatino Linotype"/>
          <w:b/>
          <w:i/>
        </w:rPr>
        <w:t>Artículo 4</w:t>
      </w:r>
      <w:r w:rsidRPr="00112D9D">
        <w:rPr>
          <w:rFonts w:ascii="Palatino Linotype" w:hAnsi="Palatino Linotype"/>
          <w:i/>
        </w:rPr>
        <w:t>.- Para los efectos de esta Ley se entiende por:</w:t>
      </w:r>
    </w:p>
    <w:p w:rsidR="008F4AE3" w:rsidRPr="00112D9D" w:rsidRDefault="008F4AE3" w:rsidP="008F4AE3">
      <w:pPr>
        <w:pStyle w:val="Sinespaciado"/>
        <w:ind w:left="567" w:right="567"/>
        <w:jc w:val="both"/>
        <w:rPr>
          <w:rFonts w:ascii="Palatino Linotype" w:hAnsi="Palatino Linotype"/>
          <w:i/>
        </w:rPr>
      </w:pPr>
      <w:r>
        <w:rPr>
          <w:rFonts w:ascii="Palatino Linotype" w:hAnsi="Palatino Linotype"/>
          <w:i/>
        </w:rPr>
        <w:t>(</w:t>
      </w:r>
      <w:r w:rsidRPr="00112D9D">
        <w:rPr>
          <w:rFonts w:ascii="Palatino Linotype" w:hAnsi="Palatino Linotype"/>
          <w:i/>
        </w:rPr>
        <w:t>…</w:t>
      </w:r>
      <w:r>
        <w:rPr>
          <w:rFonts w:ascii="Palatino Linotype" w:hAnsi="Palatino Linotype"/>
          <w:i/>
        </w:rPr>
        <w:t>)</w:t>
      </w:r>
    </w:p>
    <w:p w:rsidR="008F4AE3" w:rsidRDefault="008F4AE3" w:rsidP="008F4AE3">
      <w:pPr>
        <w:pStyle w:val="Sinespaciado"/>
        <w:ind w:left="567" w:right="567"/>
        <w:jc w:val="both"/>
        <w:rPr>
          <w:rFonts w:ascii="Palatino Linotype" w:hAnsi="Palatino Linotype"/>
          <w:i/>
        </w:rPr>
      </w:pPr>
      <w:r w:rsidRPr="00112D9D">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rsidR="008F4AE3" w:rsidRPr="00112D9D" w:rsidRDefault="008F4AE3" w:rsidP="008F4AE3">
      <w:pPr>
        <w:pStyle w:val="Sinespaciado"/>
        <w:ind w:left="567" w:right="567"/>
        <w:jc w:val="both"/>
        <w:rPr>
          <w:rFonts w:ascii="Palatino Linotype" w:hAnsi="Palatino Linotype" w:cs="Arial"/>
          <w:i/>
          <w:color w:val="000000" w:themeColor="text1"/>
        </w:rPr>
      </w:pPr>
      <w:r>
        <w:rPr>
          <w:rFonts w:ascii="Palatino Linotype" w:hAnsi="Palatino Linotype"/>
          <w:i/>
        </w:rPr>
        <w:t>(…)</w:t>
      </w:r>
      <w:r w:rsidRPr="00112D9D">
        <w:rPr>
          <w:rFonts w:ascii="Palatino Linotype" w:hAnsi="Palatino Linotype"/>
          <w:i/>
        </w:rPr>
        <w:t>”</w:t>
      </w:r>
    </w:p>
    <w:p w:rsidR="008F4AE3" w:rsidRPr="000504F9" w:rsidRDefault="008F4AE3" w:rsidP="000504F9">
      <w:pPr>
        <w:pStyle w:val="Prrafodelista"/>
        <w:tabs>
          <w:tab w:val="left" w:pos="426"/>
        </w:tabs>
        <w:spacing w:after="0" w:line="360" w:lineRule="auto"/>
        <w:ind w:left="0" w:right="49"/>
        <w:jc w:val="both"/>
        <w:rPr>
          <w:rFonts w:ascii="Palatino Linotype" w:hAnsi="Palatino Linotype"/>
          <w:sz w:val="24"/>
          <w:szCs w:val="24"/>
        </w:rPr>
      </w:pPr>
    </w:p>
    <w:p w:rsidR="000504F9" w:rsidRPr="008F4AE3" w:rsidRDefault="008F4AE3" w:rsidP="0027384F">
      <w:pPr>
        <w:pStyle w:val="Prrafodelista"/>
        <w:numPr>
          <w:ilvl w:val="0"/>
          <w:numId w:val="1"/>
        </w:numPr>
        <w:tabs>
          <w:tab w:val="left" w:pos="426"/>
        </w:tabs>
        <w:spacing w:after="0" w:line="360" w:lineRule="auto"/>
        <w:ind w:left="0" w:right="49" w:firstLine="0"/>
        <w:jc w:val="both"/>
        <w:rPr>
          <w:rFonts w:ascii="Palatino Linotype" w:hAnsi="Palatino Linotype"/>
          <w:sz w:val="24"/>
          <w:szCs w:val="24"/>
        </w:rPr>
      </w:pPr>
      <w:r w:rsidRPr="008F4AE3">
        <w:rPr>
          <w:rFonts w:ascii="Palatino Linotype" w:hAnsi="Palatino Linotype" w:cs="Arial"/>
          <w:sz w:val="24"/>
          <w:szCs w:val="24"/>
        </w:rPr>
        <w:t xml:space="preserve">De tal manera que, </w:t>
      </w:r>
      <w:r w:rsidRPr="008F4AE3">
        <w:rPr>
          <w:rFonts w:ascii="Palatino Linotype" w:hAnsi="Palatino Linotype" w:cs="Arial"/>
          <w:sz w:val="24"/>
          <w:szCs w:val="24"/>
        </w:rPr>
        <w:t xml:space="preserve">se insiste, se debió ordenar la información con los datos disociados, por ejemplo </w:t>
      </w:r>
      <w:r w:rsidRPr="008F4AE3">
        <w:rPr>
          <w:rFonts w:ascii="Palatino Linotype" w:eastAsia="MS Mincho" w:hAnsi="Palatino Linotype" w:cs="Times New Roman"/>
          <w:sz w:val="24"/>
        </w:rPr>
        <w:t xml:space="preserve">en una lista de los </w:t>
      </w:r>
      <w:r w:rsidRPr="008F4AE3">
        <w:rPr>
          <w:rFonts w:ascii="Palatino Linotype" w:eastAsia="MS Mincho" w:hAnsi="Palatino Linotype" w:cs="Times New Roman"/>
          <w:sz w:val="24"/>
        </w:rPr>
        <w:t>ex servidores públicos</w:t>
      </w:r>
      <w:r w:rsidRPr="008F4AE3">
        <w:rPr>
          <w:rFonts w:ascii="Palatino Linotype" w:eastAsia="MS Mincho" w:hAnsi="Palatino Linotype" w:cs="Times New Roman"/>
          <w:sz w:val="24"/>
        </w:rPr>
        <w:t xml:space="preserve"> por orden alfabético sin especificar cargos y </w:t>
      </w:r>
      <w:r w:rsidRPr="008F4AE3">
        <w:rPr>
          <w:rFonts w:ascii="Palatino Linotype" w:eastAsia="MS Mincho" w:hAnsi="Palatino Linotype" w:cs="Times New Roman"/>
          <w:sz w:val="24"/>
        </w:rPr>
        <w:t>los convenios por finiquito</w:t>
      </w:r>
      <w:r w:rsidRPr="008F4AE3">
        <w:rPr>
          <w:rFonts w:ascii="Palatino Linotype" w:eastAsia="MS Mincho" w:hAnsi="Palatino Linotype" w:cs="Times New Roman"/>
          <w:sz w:val="24"/>
        </w:rPr>
        <w:t xml:space="preserve"> en donde sea visible el cargo y la remunera</w:t>
      </w:r>
      <w:bookmarkStart w:id="3" w:name="_GoBack"/>
      <w:bookmarkEnd w:id="3"/>
      <w:r w:rsidRPr="008F4AE3">
        <w:rPr>
          <w:rFonts w:ascii="Palatino Linotype" w:eastAsia="MS Mincho" w:hAnsi="Palatino Linotype" w:cs="Times New Roman"/>
          <w:sz w:val="24"/>
        </w:rPr>
        <w:t xml:space="preserve">ción de los </w:t>
      </w:r>
      <w:r w:rsidRPr="008F4AE3">
        <w:rPr>
          <w:rFonts w:ascii="Palatino Linotype" w:eastAsia="MS Mincho" w:hAnsi="Palatino Linotype" w:cs="Times New Roman"/>
          <w:sz w:val="24"/>
        </w:rPr>
        <w:t xml:space="preserve">ex </w:t>
      </w:r>
      <w:r w:rsidRPr="008F4AE3">
        <w:rPr>
          <w:rFonts w:ascii="Palatino Linotype" w:eastAsia="MS Mincho" w:hAnsi="Palatino Linotype" w:cs="Times New Roman"/>
          <w:sz w:val="24"/>
        </w:rPr>
        <w:t>servidores públicos adscritos a la Dirección General de Seguridad Ciudadana y Tránsito Municipal o su equivalente</w:t>
      </w:r>
      <w:r>
        <w:rPr>
          <w:rFonts w:ascii="Palatino Linotype" w:eastAsia="MS Mincho" w:hAnsi="Palatino Linotype" w:cs="Times New Roman"/>
          <w:sz w:val="24"/>
        </w:rPr>
        <w:t>.</w:t>
      </w:r>
    </w:p>
    <w:p w:rsidR="00346DBD" w:rsidRDefault="00346DBD" w:rsidP="008F4AE3">
      <w:pPr>
        <w:spacing w:line="360" w:lineRule="auto"/>
        <w:jc w:val="center"/>
        <w:rPr>
          <w:rFonts w:ascii="Palatino Linotype" w:hAnsi="Palatino Linotype"/>
          <w:sz w:val="24"/>
          <w:szCs w:val="24"/>
        </w:rPr>
      </w:pPr>
    </w:p>
    <w:p w:rsidR="000E41D7" w:rsidRDefault="000E41D7" w:rsidP="00E34F08">
      <w:pPr>
        <w:pStyle w:val="Sinespaciado"/>
        <w:spacing w:line="360" w:lineRule="auto"/>
        <w:jc w:val="center"/>
        <w:rPr>
          <w:rFonts w:ascii="Palatino Linotype" w:hAnsi="Palatino Linotype"/>
          <w:b/>
          <w:sz w:val="24"/>
          <w:szCs w:val="24"/>
        </w:rPr>
      </w:pPr>
    </w:p>
    <w:p w:rsidR="008F4AE3" w:rsidRDefault="008F4AE3" w:rsidP="00E34F08">
      <w:pPr>
        <w:pStyle w:val="Sinespaciado"/>
        <w:spacing w:line="360" w:lineRule="auto"/>
        <w:jc w:val="center"/>
        <w:rPr>
          <w:rFonts w:ascii="Palatino Linotype" w:hAnsi="Palatino Linotype"/>
          <w:b/>
          <w:sz w:val="24"/>
          <w:szCs w:val="24"/>
        </w:rPr>
      </w:pPr>
    </w:p>
    <w:p w:rsidR="008F4AE3" w:rsidRDefault="008F4AE3" w:rsidP="00E34F08">
      <w:pPr>
        <w:pStyle w:val="Sinespaciado"/>
        <w:spacing w:line="360" w:lineRule="auto"/>
        <w:jc w:val="center"/>
        <w:rPr>
          <w:rFonts w:ascii="Palatino Linotype" w:hAnsi="Palatino Linotype"/>
          <w:b/>
          <w:sz w:val="24"/>
          <w:szCs w:val="24"/>
        </w:rPr>
      </w:pPr>
    </w:p>
    <w:p w:rsidR="00665D04" w:rsidRDefault="00665D04"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Default="0046491C" w:rsidP="005C3F61">
      <w:pPr>
        <w:spacing w:line="240" w:lineRule="auto"/>
        <w:jc w:val="center"/>
        <w:rPr>
          <w:rFonts w:ascii="Palatino Linotype" w:hAnsi="Palatino Linotype"/>
          <w:b/>
          <w:sz w:val="24"/>
          <w:szCs w:val="24"/>
        </w:rPr>
      </w:pPr>
      <w:r w:rsidRPr="0001046D">
        <w:rPr>
          <w:rFonts w:ascii="Palatino Linotype" w:hAnsi="Palatino Linotype"/>
          <w:b/>
          <w:sz w:val="24"/>
          <w:szCs w:val="24"/>
        </w:rPr>
        <w:t>COMISIONADO</w:t>
      </w:r>
    </w:p>
    <w:p w:rsidR="008F4AE3" w:rsidRPr="008F4AE3" w:rsidRDefault="00A71441" w:rsidP="008F4AE3">
      <w:pPr>
        <w:spacing w:line="360" w:lineRule="auto"/>
        <w:jc w:val="right"/>
        <w:rPr>
          <w:rFonts w:ascii="Palatino Linotype" w:hAnsi="Palatino Linotype"/>
          <w:b/>
          <w:sz w:val="24"/>
          <w:szCs w:val="24"/>
        </w:rPr>
      </w:pPr>
      <w:r>
        <w:rPr>
          <w:rFonts w:ascii="Palatino Linotype" w:hAnsi="Palatino Linotype"/>
          <w:b/>
          <w:sz w:val="24"/>
          <w:szCs w:val="24"/>
        </w:rPr>
        <w:t>JGLH/</w:t>
      </w:r>
      <w:r w:rsidR="00F90F3D">
        <w:rPr>
          <w:rFonts w:ascii="Palatino Linotype" w:hAnsi="Palatino Linotype"/>
          <w:b/>
          <w:sz w:val="24"/>
          <w:szCs w:val="24"/>
        </w:rPr>
        <w:t>JAAV</w:t>
      </w:r>
    </w:p>
    <w:sectPr w:rsidR="008F4AE3" w:rsidRPr="008F4AE3" w:rsidSect="00FA48AA">
      <w:headerReference w:type="even" r:id="rId9"/>
      <w:headerReference w:type="default" r:id="rId10"/>
      <w:footerReference w:type="even" r:id="rId11"/>
      <w:footerReference w:type="default" r:id="rId12"/>
      <w:headerReference w:type="first" r:id="rId13"/>
      <w:footerReference w:type="first" r:id="rId14"/>
      <w:pgSz w:w="12240" w:h="15840" w:code="1"/>
      <w:pgMar w:top="2438"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1F" w:rsidRDefault="00CD781F" w:rsidP="00E706DA">
      <w:pPr>
        <w:spacing w:after="0" w:line="240" w:lineRule="auto"/>
      </w:pPr>
      <w:r>
        <w:separator/>
      </w:r>
    </w:p>
  </w:endnote>
  <w:endnote w:type="continuationSeparator" w:id="0">
    <w:p w:rsidR="00CD781F" w:rsidRDefault="00CD781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CD78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FC068F">
              <w:rPr>
                <w:rFonts w:ascii="Palatino Linotype" w:hAnsi="Palatino Linotype"/>
                <w:b/>
                <w:bCs/>
                <w:noProof/>
                <w:sz w:val="20"/>
                <w:szCs w:val="20"/>
              </w:rPr>
              <w:t>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FC068F">
              <w:rPr>
                <w:rFonts w:ascii="Palatino Linotype" w:hAnsi="Palatino Linotype"/>
                <w:b/>
                <w:bCs/>
                <w:noProof/>
                <w:sz w:val="20"/>
                <w:szCs w:val="20"/>
              </w:rPr>
              <w:t>10</w:t>
            </w:r>
            <w:r w:rsidRPr="0052203D">
              <w:rPr>
                <w:rFonts w:ascii="Palatino Linotype" w:hAnsi="Palatino Linotype"/>
                <w:b/>
                <w:bCs/>
                <w:sz w:val="20"/>
                <w:szCs w:val="20"/>
              </w:rPr>
              <w:fldChar w:fldCharType="end"/>
            </w:r>
          </w:p>
        </w:sdtContent>
      </w:sdt>
    </w:sdtContent>
  </w:sdt>
  <w:p w:rsidR="00951E8B" w:rsidRDefault="00CD781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CD781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1F" w:rsidRDefault="00CD781F" w:rsidP="00E706DA">
      <w:pPr>
        <w:spacing w:after="0" w:line="240" w:lineRule="auto"/>
      </w:pPr>
      <w:r>
        <w:separator/>
      </w:r>
    </w:p>
  </w:footnote>
  <w:footnote w:type="continuationSeparator" w:id="0">
    <w:p w:rsidR="00CD781F" w:rsidRDefault="00CD781F" w:rsidP="00E70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D78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D78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CD781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CD781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860C08"/>
    <w:multiLevelType w:val="hybridMultilevel"/>
    <w:tmpl w:val="F0CC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7"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7202FA"/>
    <w:multiLevelType w:val="hybridMultilevel"/>
    <w:tmpl w:val="E7B816D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
  </w:num>
  <w:num w:numId="3">
    <w:abstractNumId w:val="4"/>
  </w:num>
  <w:num w:numId="4">
    <w:abstractNumId w:val="9"/>
  </w:num>
  <w:num w:numId="5">
    <w:abstractNumId w:val="10"/>
  </w:num>
  <w:num w:numId="6">
    <w:abstractNumId w:val="12"/>
  </w:num>
  <w:num w:numId="7">
    <w:abstractNumId w:val="15"/>
  </w:num>
  <w:num w:numId="8">
    <w:abstractNumId w:val="13"/>
  </w:num>
  <w:num w:numId="9">
    <w:abstractNumId w:val="17"/>
  </w:num>
  <w:num w:numId="10">
    <w:abstractNumId w:val="2"/>
  </w:num>
  <w:num w:numId="11">
    <w:abstractNumId w:val="16"/>
  </w:num>
  <w:num w:numId="12">
    <w:abstractNumId w:val="7"/>
  </w:num>
  <w:num w:numId="13">
    <w:abstractNumId w:val="3"/>
  </w:num>
  <w:num w:numId="14">
    <w:abstractNumId w:val="6"/>
  </w:num>
  <w:num w:numId="15">
    <w:abstractNumId w:val="14"/>
  </w:num>
  <w:num w:numId="16">
    <w:abstractNumId w:val="8"/>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7405"/>
    <w:rsid w:val="000504F9"/>
    <w:rsid w:val="00067CE1"/>
    <w:rsid w:val="0007397C"/>
    <w:rsid w:val="00073F0D"/>
    <w:rsid w:val="00076792"/>
    <w:rsid w:val="000951B4"/>
    <w:rsid w:val="000A77B5"/>
    <w:rsid w:val="000A7B66"/>
    <w:rsid w:val="000E41D7"/>
    <w:rsid w:val="000F6C81"/>
    <w:rsid w:val="000F6CBB"/>
    <w:rsid w:val="00105730"/>
    <w:rsid w:val="00122625"/>
    <w:rsid w:val="00181BBE"/>
    <w:rsid w:val="00194B6A"/>
    <w:rsid w:val="001D3F34"/>
    <w:rsid w:val="0020315F"/>
    <w:rsid w:val="002036ED"/>
    <w:rsid w:val="00222DD9"/>
    <w:rsid w:val="00225026"/>
    <w:rsid w:val="00260D6C"/>
    <w:rsid w:val="002620E9"/>
    <w:rsid w:val="00265990"/>
    <w:rsid w:val="00281310"/>
    <w:rsid w:val="002B0006"/>
    <w:rsid w:val="002C1F75"/>
    <w:rsid w:val="00302832"/>
    <w:rsid w:val="00346DBD"/>
    <w:rsid w:val="00367E00"/>
    <w:rsid w:val="003705BB"/>
    <w:rsid w:val="00372DE3"/>
    <w:rsid w:val="003747A5"/>
    <w:rsid w:val="00382D3E"/>
    <w:rsid w:val="003837C2"/>
    <w:rsid w:val="003D7B9E"/>
    <w:rsid w:val="00412952"/>
    <w:rsid w:val="00413496"/>
    <w:rsid w:val="00420231"/>
    <w:rsid w:val="00424DE3"/>
    <w:rsid w:val="004303EC"/>
    <w:rsid w:val="00444048"/>
    <w:rsid w:val="0046491C"/>
    <w:rsid w:val="0048490F"/>
    <w:rsid w:val="004A22C2"/>
    <w:rsid w:val="004F5418"/>
    <w:rsid w:val="00532410"/>
    <w:rsid w:val="00575478"/>
    <w:rsid w:val="00581A68"/>
    <w:rsid w:val="005A3267"/>
    <w:rsid w:val="005C3F61"/>
    <w:rsid w:val="005C5850"/>
    <w:rsid w:val="005C79C8"/>
    <w:rsid w:val="005F3760"/>
    <w:rsid w:val="005F7C88"/>
    <w:rsid w:val="00634736"/>
    <w:rsid w:val="00651380"/>
    <w:rsid w:val="00664234"/>
    <w:rsid w:val="00665D04"/>
    <w:rsid w:val="006728FD"/>
    <w:rsid w:val="00673293"/>
    <w:rsid w:val="00676175"/>
    <w:rsid w:val="006800C8"/>
    <w:rsid w:val="0069498B"/>
    <w:rsid w:val="006E1859"/>
    <w:rsid w:val="006E2606"/>
    <w:rsid w:val="006F0AC1"/>
    <w:rsid w:val="00717C0D"/>
    <w:rsid w:val="0072136B"/>
    <w:rsid w:val="00734C24"/>
    <w:rsid w:val="007376FF"/>
    <w:rsid w:val="0076241F"/>
    <w:rsid w:val="00770016"/>
    <w:rsid w:val="00771138"/>
    <w:rsid w:val="00790E37"/>
    <w:rsid w:val="007A7FAD"/>
    <w:rsid w:val="007E2CF8"/>
    <w:rsid w:val="00801F0B"/>
    <w:rsid w:val="00814E97"/>
    <w:rsid w:val="008361CA"/>
    <w:rsid w:val="00850252"/>
    <w:rsid w:val="00856FA1"/>
    <w:rsid w:val="0086185D"/>
    <w:rsid w:val="008822B3"/>
    <w:rsid w:val="00895A90"/>
    <w:rsid w:val="008B03B6"/>
    <w:rsid w:val="008C2FF2"/>
    <w:rsid w:val="008D4B3A"/>
    <w:rsid w:val="008E01AC"/>
    <w:rsid w:val="008E1779"/>
    <w:rsid w:val="008E1DCC"/>
    <w:rsid w:val="008E4128"/>
    <w:rsid w:val="008F3E81"/>
    <w:rsid w:val="008F4AE3"/>
    <w:rsid w:val="00900E75"/>
    <w:rsid w:val="00902248"/>
    <w:rsid w:val="009156AC"/>
    <w:rsid w:val="00915A37"/>
    <w:rsid w:val="00937D7D"/>
    <w:rsid w:val="0094239C"/>
    <w:rsid w:val="009A277B"/>
    <w:rsid w:val="009B4E7D"/>
    <w:rsid w:val="009C1652"/>
    <w:rsid w:val="009C4EF6"/>
    <w:rsid w:val="00A00F35"/>
    <w:rsid w:val="00A14546"/>
    <w:rsid w:val="00A44506"/>
    <w:rsid w:val="00A63717"/>
    <w:rsid w:val="00A71441"/>
    <w:rsid w:val="00AA0E64"/>
    <w:rsid w:val="00AA49F3"/>
    <w:rsid w:val="00AB023D"/>
    <w:rsid w:val="00AB126B"/>
    <w:rsid w:val="00AC381E"/>
    <w:rsid w:val="00AC4562"/>
    <w:rsid w:val="00AE4797"/>
    <w:rsid w:val="00AE550E"/>
    <w:rsid w:val="00AE58DA"/>
    <w:rsid w:val="00AF73BC"/>
    <w:rsid w:val="00B120CA"/>
    <w:rsid w:val="00B62486"/>
    <w:rsid w:val="00B865E5"/>
    <w:rsid w:val="00BC7B0C"/>
    <w:rsid w:val="00BE59B5"/>
    <w:rsid w:val="00BF3534"/>
    <w:rsid w:val="00C70D03"/>
    <w:rsid w:val="00CD781F"/>
    <w:rsid w:val="00CE0823"/>
    <w:rsid w:val="00CF71F8"/>
    <w:rsid w:val="00D150B0"/>
    <w:rsid w:val="00D30309"/>
    <w:rsid w:val="00D33AF9"/>
    <w:rsid w:val="00D363F7"/>
    <w:rsid w:val="00D66E5F"/>
    <w:rsid w:val="00D72985"/>
    <w:rsid w:val="00D7508B"/>
    <w:rsid w:val="00DA6B18"/>
    <w:rsid w:val="00DD31EB"/>
    <w:rsid w:val="00DD36F5"/>
    <w:rsid w:val="00DF6F7E"/>
    <w:rsid w:val="00E305E3"/>
    <w:rsid w:val="00E30CD7"/>
    <w:rsid w:val="00E34F08"/>
    <w:rsid w:val="00E35329"/>
    <w:rsid w:val="00E6129E"/>
    <w:rsid w:val="00E61AB8"/>
    <w:rsid w:val="00E706DA"/>
    <w:rsid w:val="00E73953"/>
    <w:rsid w:val="00E83E93"/>
    <w:rsid w:val="00E90EB5"/>
    <w:rsid w:val="00E94FBF"/>
    <w:rsid w:val="00EA2C08"/>
    <w:rsid w:val="00ED288D"/>
    <w:rsid w:val="00ED57EE"/>
    <w:rsid w:val="00EF0C2D"/>
    <w:rsid w:val="00F15D8D"/>
    <w:rsid w:val="00F25783"/>
    <w:rsid w:val="00F45161"/>
    <w:rsid w:val="00F46E78"/>
    <w:rsid w:val="00F5150F"/>
    <w:rsid w:val="00F857BC"/>
    <w:rsid w:val="00F90F3D"/>
    <w:rsid w:val="00FA48AA"/>
    <w:rsid w:val="00FC068F"/>
    <w:rsid w:val="00FC16D9"/>
    <w:rsid w:val="00FF0F06"/>
    <w:rsid w:val="00FF3C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D66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4945">
      <w:bodyDiv w:val="1"/>
      <w:marLeft w:val="0"/>
      <w:marRight w:val="0"/>
      <w:marTop w:val="0"/>
      <w:marBottom w:val="0"/>
      <w:divBdr>
        <w:top w:val="none" w:sz="0" w:space="0" w:color="auto"/>
        <w:left w:val="none" w:sz="0" w:space="0" w:color="auto"/>
        <w:bottom w:val="none" w:sz="0" w:space="0" w:color="auto"/>
        <w:right w:val="none" w:sz="0" w:space="0" w:color="auto"/>
      </w:divBdr>
    </w:div>
    <w:div w:id="275064913">
      <w:bodyDiv w:val="1"/>
      <w:marLeft w:val="0"/>
      <w:marRight w:val="0"/>
      <w:marTop w:val="0"/>
      <w:marBottom w:val="0"/>
      <w:divBdr>
        <w:top w:val="none" w:sz="0" w:space="0" w:color="auto"/>
        <w:left w:val="none" w:sz="0" w:space="0" w:color="auto"/>
        <w:bottom w:val="none" w:sz="0" w:space="0" w:color="auto"/>
        <w:right w:val="none" w:sz="0" w:space="0" w:color="auto"/>
      </w:divBdr>
    </w:div>
    <w:div w:id="490608141">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868375153">
      <w:bodyDiv w:val="1"/>
      <w:marLeft w:val="0"/>
      <w:marRight w:val="0"/>
      <w:marTop w:val="0"/>
      <w:marBottom w:val="0"/>
      <w:divBdr>
        <w:top w:val="none" w:sz="0" w:space="0" w:color="auto"/>
        <w:left w:val="none" w:sz="0" w:space="0" w:color="auto"/>
        <w:bottom w:val="none" w:sz="0" w:space="0" w:color="auto"/>
        <w:right w:val="none" w:sz="0" w:space="0" w:color="auto"/>
      </w:divBdr>
    </w:div>
    <w:div w:id="873231168">
      <w:bodyDiv w:val="1"/>
      <w:marLeft w:val="0"/>
      <w:marRight w:val="0"/>
      <w:marTop w:val="0"/>
      <w:marBottom w:val="0"/>
      <w:divBdr>
        <w:top w:val="none" w:sz="0" w:space="0" w:color="auto"/>
        <w:left w:val="none" w:sz="0" w:space="0" w:color="auto"/>
        <w:bottom w:val="none" w:sz="0" w:space="0" w:color="auto"/>
        <w:right w:val="none" w:sz="0" w:space="0" w:color="auto"/>
      </w:divBdr>
    </w:div>
    <w:div w:id="1006633607">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184783658">
      <w:bodyDiv w:val="1"/>
      <w:marLeft w:val="0"/>
      <w:marRight w:val="0"/>
      <w:marTop w:val="0"/>
      <w:marBottom w:val="0"/>
      <w:divBdr>
        <w:top w:val="none" w:sz="0" w:space="0" w:color="auto"/>
        <w:left w:val="none" w:sz="0" w:space="0" w:color="auto"/>
        <w:bottom w:val="none" w:sz="0" w:space="0" w:color="auto"/>
        <w:right w:val="none" w:sz="0" w:space="0" w:color="auto"/>
      </w:divBdr>
    </w:div>
    <w:div w:id="1202355738">
      <w:bodyDiv w:val="1"/>
      <w:marLeft w:val="0"/>
      <w:marRight w:val="0"/>
      <w:marTop w:val="0"/>
      <w:marBottom w:val="0"/>
      <w:divBdr>
        <w:top w:val="none" w:sz="0" w:space="0" w:color="auto"/>
        <w:left w:val="none" w:sz="0" w:space="0" w:color="auto"/>
        <w:bottom w:val="none" w:sz="0" w:space="0" w:color="auto"/>
        <w:right w:val="none" w:sz="0" w:space="0" w:color="auto"/>
      </w:divBdr>
    </w:div>
    <w:div w:id="1276979545">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90831871">
      <w:bodyDiv w:val="1"/>
      <w:marLeft w:val="0"/>
      <w:marRight w:val="0"/>
      <w:marTop w:val="0"/>
      <w:marBottom w:val="0"/>
      <w:divBdr>
        <w:top w:val="none" w:sz="0" w:space="0" w:color="auto"/>
        <w:left w:val="none" w:sz="0" w:space="0" w:color="auto"/>
        <w:bottom w:val="none" w:sz="0" w:space="0" w:color="auto"/>
        <w:right w:val="none" w:sz="0" w:space="0" w:color="auto"/>
      </w:divBdr>
    </w:div>
    <w:div w:id="1736395381">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5508-E156-4E50-9D19-A9D0BC97B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1995</Words>
  <Characters>10978</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JARB</cp:lastModifiedBy>
  <cp:revision>5</cp:revision>
  <cp:lastPrinted>2019-01-15T00:12:00Z</cp:lastPrinted>
  <dcterms:created xsi:type="dcterms:W3CDTF">2019-01-14T23:36:00Z</dcterms:created>
  <dcterms:modified xsi:type="dcterms:W3CDTF">2019-01-15T00:18:00Z</dcterms:modified>
</cp:coreProperties>
</file>